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cs="Times New Roman" w:ascii="Times New Roman" w:hAnsi="Times New Roman"/>
          <w:sz w:val="24"/>
          <w:szCs w:val="24"/>
          <w:lang w:eastAsia="it-IT"/>
        </w:rPr>
      </w:pPr>
      <w:r>
        <w:rPr>
          <w:rFonts w:cs="Times New Roman" w:ascii="Times New Roman" w:hAnsi="Times New Roman"/>
          <w:sz w:val="24"/>
          <w:szCs w:val="24"/>
          <w:lang w:eastAsia="it-IT"/>
        </w:rPr>
      </w:r>
    </w:p>
    <w:p>
      <w:pPr>
        <w:pStyle w:val="Normal"/>
        <w:spacing w:lineRule="auto" w:line="240" w:before="0" w:after="0"/>
        <w:rPr>
          <w:rFonts w:cs="Times New Roman" w:ascii="Times New Roman" w:hAnsi="Times New Roman"/>
          <w:sz w:val="24"/>
          <w:szCs w:val="24"/>
          <w:lang w:eastAsia="it-IT"/>
        </w:rPr>
      </w:pPr>
      <w:r>
        <w:rPr>
          <w:rFonts w:cs="Times New Roman" w:ascii="Times New Roman" w:hAnsi="Times New Roman"/>
          <w:sz w:val="24"/>
          <w:szCs w:val="24"/>
          <w:lang w:eastAsia="it-IT"/>
        </w:rPr>
      </w:r>
    </w:p>
    <w:p>
      <w:pPr>
        <w:pStyle w:val="Normal"/>
        <w:spacing w:lineRule="auto" w:line="240" w:before="0" w:after="0"/>
        <w:rPr>
          <w:rFonts w:cs="Times New Roman" w:ascii="Times New Roman" w:hAnsi="Times New Roman"/>
          <w:b/>
          <w:sz w:val="32"/>
          <w:szCs w:val="32"/>
          <w:lang w:eastAsia="it-IT"/>
        </w:rPr>
      </w:pPr>
      <w:r>
        <w:rPr>
          <w:rFonts w:cs="Times New Roman" w:ascii="Times New Roman" w:hAnsi="Times New Roman"/>
          <w:b/>
          <w:sz w:val="32"/>
          <w:szCs w:val="32"/>
          <w:lang w:eastAsia="it-IT"/>
        </w:rPr>
        <w:t xml:space="preserve">Allegato “A” </w:t>
      </w:r>
    </w:p>
    <w:p>
      <w:pPr>
        <w:pStyle w:val="Normal"/>
        <w:spacing w:lineRule="auto" w:line="240" w:before="0" w:after="0"/>
        <w:rPr>
          <w:rFonts w:cs="Times New Roman" w:ascii="Times New Roman" w:hAnsi="Times New Roman"/>
          <w:sz w:val="20"/>
          <w:szCs w:val="20"/>
          <w:lang w:eastAsia="it-IT"/>
        </w:rPr>
      </w:pPr>
      <w:r>
        <w:rPr>
          <w:rFonts w:cs="Times New Roman" w:ascii="Times New Roman" w:hAnsi="Times New Roman"/>
          <w:sz w:val="20"/>
          <w:szCs w:val="20"/>
          <w:lang w:eastAsia="it-IT"/>
        </w:rPr>
      </w:r>
    </w:p>
    <w:p>
      <w:pPr>
        <w:pStyle w:val="Normal"/>
        <w:spacing w:lineRule="auto" w:line="240" w:before="0" w:after="0"/>
        <w:rPr>
          <w:rFonts w:cs="Times New Roman" w:ascii="Times New Roman" w:hAnsi="Times New Roman"/>
          <w:sz w:val="20"/>
          <w:szCs w:val="20"/>
          <w:lang w:eastAsia="it-IT"/>
        </w:rPr>
      </w:pPr>
      <w:r>
        <w:rPr>
          <w:rFonts w:cs="Times New Roman" w:ascii="Times New Roman" w:hAnsi="Times New Roman"/>
          <w:sz w:val="20"/>
          <w:szCs w:val="20"/>
          <w:lang w:eastAsia="it-IT"/>
        </w:rPr>
      </w:r>
    </w:p>
    <w:p>
      <w:pPr>
        <w:pStyle w:val="Normal"/>
        <w:spacing w:lineRule="auto" w:line="240" w:before="0" w:after="0"/>
        <w:jc w:val="center"/>
        <w:rPr>
          <w:rFonts w:cs="Times New Roman" w:ascii="Times New Roman" w:hAnsi="Times New Roman"/>
          <w:b/>
          <w:bCs/>
          <w:sz w:val="24"/>
          <w:szCs w:val="24"/>
          <w:lang w:eastAsia="it-IT"/>
        </w:rPr>
      </w:pPr>
      <w:r>
        <w:rPr>
          <w:rFonts w:cs="DecimaWE Rg" w:ascii="DecimaWE Rg" w:hAnsi="DecimaWE Rg"/>
          <w:b/>
          <w:bCs/>
          <w:sz w:val="24"/>
          <w:szCs w:val="24"/>
          <w:lang w:eastAsia="it-IT"/>
        </w:rPr>
        <w:t xml:space="preserve">Avviso </w:t>
      </w:r>
      <w:r>
        <w:rPr>
          <w:rFonts w:cs="Times New Roman" w:ascii="Times New Roman" w:hAnsi="Times New Roman"/>
          <w:b/>
          <w:bCs/>
          <w:sz w:val="24"/>
          <w:szCs w:val="24"/>
          <w:lang w:eastAsia="it-IT"/>
        </w:rPr>
        <w:t>rivolto agli Istituti Tecnici trasporti e logistica – settore nautica</w:t>
      </w:r>
    </w:p>
    <w:p>
      <w:pPr>
        <w:pStyle w:val="Normal"/>
        <w:spacing w:lineRule="auto" w:line="240" w:before="0" w:after="0"/>
        <w:jc w:val="center"/>
        <w:rPr>
          <w:rFonts w:cs="DecimaWE Rg" w:ascii="DecimaWE Rg" w:hAnsi="DecimaWE Rg"/>
          <w:b/>
          <w:bCs/>
          <w:sz w:val="24"/>
          <w:szCs w:val="24"/>
          <w:lang w:eastAsia="it-IT"/>
        </w:rPr>
      </w:pPr>
      <w:r>
        <w:rPr>
          <w:rFonts w:cs="Times New Roman" w:ascii="Times New Roman" w:hAnsi="Times New Roman"/>
          <w:b/>
          <w:bCs/>
          <w:sz w:val="24"/>
          <w:szCs w:val="24"/>
          <w:lang w:eastAsia="it-IT"/>
        </w:rPr>
        <w:t>della Regione Marche</w:t>
      </w:r>
      <w:r>
        <w:rPr>
          <w:rFonts w:cs="DecimaWE Rg" w:ascii="DecimaWE Rg" w:hAnsi="DecimaWE Rg"/>
          <w:b/>
          <w:bCs/>
          <w:sz w:val="24"/>
          <w:szCs w:val="24"/>
          <w:lang w:eastAsia="it-IT"/>
        </w:rPr>
        <w:t xml:space="preserve"> da accreditare nell'ambito del progetto BLUE KEP</w:t>
      </w:r>
    </w:p>
    <w:p>
      <w:pPr>
        <w:pStyle w:val="Normal"/>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1   - Oggetto</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numPr>
          <w:ilvl w:val="0"/>
          <w:numId w:val="6"/>
        </w:numPr>
        <w:spacing w:lineRule="auto" w:line="240" w:before="0" w:after="0"/>
        <w:ind w:left="714" w:right="0" w:hanging="360"/>
        <w:jc w:val="both"/>
        <w:rPr>
          <w:rFonts w:cs="DecimaWE Rg" w:ascii="DecimaWE Rg" w:hAnsi="DecimaWE Rg"/>
          <w:sz w:val="24"/>
          <w:szCs w:val="24"/>
          <w:lang w:eastAsia="it-IT"/>
        </w:rPr>
      </w:pPr>
      <w:r>
        <w:rPr>
          <w:rFonts w:cs="DecimaWE Rg" w:ascii="DecimaWE Rg" w:hAnsi="DecimaWE Rg"/>
          <w:sz w:val="24"/>
          <w:szCs w:val="24"/>
          <w:lang w:eastAsia="it-IT"/>
        </w:rPr>
        <w:t xml:space="preserve">Il presente avviso disciplina la presentazione, da parte delle istituzioni scolastiche secondarie di secondo grado del settore nautico, marittimo e della cantieristica della Regione Marche, delle domande di accreditamento per il progetto BLUE KEP. </w:t>
      </w:r>
    </w:p>
    <w:p>
      <w:pPr>
        <w:pStyle w:val="ListParagraph"/>
        <w:numPr>
          <w:ilvl w:val="0"/>
          <w:numId w:val="6"/>
        </w:numPr>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t xml:space="preserve">Il progetto BLUE KEP è inserito nell’ambito del settore della Blue Innovation (Asse 1) a valere sul Programma di Cooperazione Italia - Croazia CBC Programme Interregg V-A 2014-2020. </w:t>
      </w:r>
    </w:p>
    <w:p>
      <w:pPr>
        <w:pStyle w:val="Normal"/>
        <w:numPr>
          <w:ilvl w:val="0"/>
          <w:numId w:val="6"/>
        </w:numPr>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t>L'attuazione del presente avviso rientra nella competenza del Servizio Attività Produttive, Lavoro e Istruzione, P.F. Istruzione, Formazione, Orientamento e servizi territoriali per la formazione e servizi per il mercato del lavoro (Centri per l’Impiego), Regione Marche Via Tiziano, 44 Ancona.</w:t>
      </w:r>
    </w:p>
    <w:p>
      <w:pPr>
        <w:pStyle w:val="Normal"/>
        <w:spacing w:lineRule="auto" w:line="240" w:before="0" w:after="0"/>
        <w:ind w:left="357" w:right="0" w:hanging="0"/>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2 - Quadro di riferimento e finalità</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spacing w:lineRule="auto" w:line="240" w:before="0" w:after="0"/>
        <w:jc w:val="both"/>
        <w:rPr>
          <w:rFonts w:cs="DecimaWE Rg" w:ascii="DecimaWE Rg" w:hAnsi="DecimaWE Rg"/>
          <w:b/>
          <w:sz w:val="24"/>
          <w:szCs w:val="24"/>
        </w:rPr>
      </w:pPr>
      <w:r>
        <w:rPr>
          <w:rFonts w:cs="DecimaWE Rg" w:ascii="DecimaWE Rg" w:hAnsi="DecimaWE Rg"/>
          <w:sz w:val="24"/>
          <w:szCs w:val="24"/>
        </w:rPr>
        <w:t>Il progetto BLUE KEP mira ad accrescere le condizioni di contesto per l’innovazione nei settori del trasporto nautico, marittimo e della cantieristica navale all’interno dell’area di cooperazione, attraverso l’integrazione dei sistemi scolastici nell’area di confine e l’armonizzazione del sistema di istruzione tecnico. L’obiettivo sarà raggiunto standardizzando i curricula scolastici e i metodi di valutazione e riconoscimento delle conoscenze educative e professionali degli studenti. Il progetto contribuirà ad aumentare le connessioni e le relazioni tra il sistema di istruzione e il mercato del lavoro dell'area programma che attraverso lo scambio di conoscenze e competenze professionali migliorerà la potenzialità economica dell’area.</w:t>
      </w:r>
      <w:r>
        <w:rPr>
          <w:rFonts w:cs="DecimaWE Rg" w:ascii="DecimaWE Rg" w:hAnsi="DecimaWE Rg"/>
          <w:b/>
          <w:sz w:val="24"/>
          <w:szCs w:val="24"/>
        </w:rPr>
        <w:t xml:space="preserve"> </w:t>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t>Articolo 3 – Definizioni</w:t>
      </w:r>
    </w:p>
    <w:p>
      <w:pPr>
        <w:pStyle w:val="Normal"/>
        <w:spacing w:lineRule="auto" w:line="240" w:before="0" w:after="0"/>
        <w:jc w:val="both"/>
        <w:rPr>
          <w:rFonts w:cs="DecimaWE Rg" w:ascii="DecimaWE Rg" w:hAnsi="DecimaWE Rg"/>
          <w:sz w:val="24"/>
          <w:szCs w:val="24"/>
        </w:rPr>
      </w:pPr>
      <w:r>
        <w:rPr>
          <w:rFonts w:cs="DecimaWE Rg" w:ascii="DecimaWE Rg" w:hAnsi="DecimaWE Rg"/>
          <w:sz w:val="24"/>
          <w:szCs w:val="24"/>
        </w:rPr>
      </w:r>
    </w:p>
    <w:p>
      <w:pPr>
        <w:pStyle w:val="Normal"/>
        <w:spacing w:lineRule="auto" w:line="240" w:before="0" w:after="0"/>
        <w:jc w:val="both"/>
        <w:rPr>
          <w:rFonts w:cs="DecimaWE Rg" w:ascii="DecimaWE Rg" w:hAnsi="DecimaWE Rg"/>
          <w:sz w:val="24"/>
          <w:szCs w:val="24"/>
          <w:shd w:fill="auto" w:val="clear"/>
        </w:rPr>
      </w:pPr>
      <w:r>
        <w:rPr>
          <w:rFonts w:cs="DecimaWE Rg" w:ascii="DecimaWE Rg" w:hAnsi="DecimaWE Rg"/>
          <w:sz w:val="24"/>
          <w:szCs w:val="24"/>
        </w:rPr>
        <w:t xml:space="preserve">1.  </w:t>
      </w:r>
      <w:r>
        <w:rPr>
          <w:rFonts w:cs="DecimaWE Rg" w:ascii="DecimaWE Rg" w:hAnsi="DecimaWE Rg"/>
          <w:b/>
          <w:sz w:val="24"/>
          <w:szCs w:val="24"/>
        </w:rPr>
        <w:t>Per mobilità in uscita</w:t>
      </w:r>
      <w:r>
        <w:rPr>
          <w:rFonts w:cs="DecimaWE Rg" w:ascii="DecimaWE Rg" w:hAnsi="DecimaWE Rg"/>
          <w:sz w:val="24"/>
          <w:szCs w:val="24"/>
        </w:rPr>
        <w:t xml:space="preserve"> si intende un percorso formativo da realizzarsi nell'anno scolastico 2018-2019 presso un istituto scolastico secondario di secondo grado accreditato, appartenente ad un Paese partner, di cui al successivo Art. 4 comma 4, diverso da quello di appartenenza, da parte di un gruppo composto approssimativamente da 15 studenti (dell’età dai 16 ai 18 anni), provenienti da massimo 3 scuole, per una durata di </w:t>
      </w:r>
      <w:r>
        <w:rPr>
          <w:rFonts w:cs="DecimaWE Rg" w:ascii="DecimaWE Rg" w:hAnsi="DecimaWE Rg"/>
          <w:sz w:val="24"/>
          <w:szCs w:val="24"/>
        </w:rPr>
        <w:t>almeno 1 mese e mezzo</w:t>
      </w:r>
      <w:r>
        <w:rPr>
          <w:rFonts w:cs="DecimaWE Rg" w:ascii="DecimaWE Rg" w:hAnsi="DecimaWE Rg"/>
          <w:sz w:val="24"/>
          <w:szCs w:val="24"/>
          <w:shd w:fill="auto" w:val="clear"/>
        </w:rPr>
        <w:t>.</w:t>
      </w:r>
    </w:p>
    <w:p>
      <w:pPr>
        <w:pStyle w:val="Normal"/>
        <w:spacing w:lineRule="auto" w:line="240" w:before="0" w:after="0"/>
        <w:jc w:val="both"/>
        <w:rPr>
          <w:rFonts w:cs="DecimaWE Rg" w:ascii="DecimaWE Rg" w:hAnsi="DecimaWE Rg"/>
          <w:sz w:val="24"/>
          <w:szCs w:val="24"/>
          <w:shd w:fill="auto" w:val="clear"/>
        </w:rPr>
      </w:pPr>
      <w:r>
        <w:rPr>
          <w:rFonts w:cs="DecimaWE Rg" w:ascii="DecimaWE Rg" w:hAnsi="DecimaWE Rg"/>
          <w:sz w:val="24"/>
          <w:szCs w:val="24"/>
          <w:shd w:fill="auto" w:val="clear"/>
        </w:rPr>
      </w:r>
    </w:p>
    <w:p>
      <w:pPr>
        <w:pStyle w:val="Normal"/>
        <w:spacing w:lineRule="auto" w:line="240" w:before="0" w:after="0"/>
        <w:jc w:val="both"/>
        <w:rPr>
          <w:rFonts w:cs="DecimaWE Rg" w:ascii="DecimaWE Rg" w:hAnsi="DecimaWE Rg"/>
          <w:sz w:val="24"/>
          <w:szCs w:val="24"/>
        </w:rPr>
      </w:pPr>
      <w:r>
        <w:rPr>
          <w:rFonts w:cs="DecimaWE Rg" w:ascii="DecimaWE Rg" w:hAnsi="DecimaWE Rg"/>
          <w:sz w:val="24"/>
          <w:szCs w:val="24"/>
          <w:shd w:fill="auto" w:val="clear"/>
        </w:rPr>
        <w:t xml:space="preserve">2. </w:t>
      </w:r>
      <w:r>
        <w:rPr>
          <w:rFonts w:cs="DecimaWE Rg" w:ascii="DecimaWE Rg" w:hAnsi="DecimaWE Rg"/>
          <w:b/>
          <w:sz w:val="24"/>
          <w:szCs w:val="24"/>
          <w:shd w:fill="auto" w:val="clear"/>
        </w:rPr>
        <w:t>Per mobilità in entrata</w:t>
      </w:r>
      <w:r>
        <w:rPr>
          <w:rFonts w:cs="DecimaWE Rg" w:ascii="DecimaWE Rg" w:hAnsi="DecimaWE Rg"/>
          <w:sz w:val="24"/>
          <w:szCs w:val="24"/>
          <w:shd w:fill="auto" w:val="clear"/>
        </w:rPr>
        <w:t xml:space="preserve"> si intende un percorso formativo da realizzarsi nell'anno scolastico 2018-2019 </w:t>
      </w:r>
      <w:r>
        <w:rPr>
          <w:rFonts w:cs="DecimaWE Rg" w:ascii="DecimaWE Rg" w:hAnsi="DecimaWE Rg"/>
          <w:sz w:val="24"/>
          <w:szCs w:val="24"/>
          <w:shd w:fill="auto" w:val="clear"/>
        </w:rPr>
        <w:t>per una durata di almeno 1 mese e mezzo</w:t>
      </w:r>
      <w:r>
        <w:rPr>
          <w:rFonts w:cs="DecimaWE Rg" w:ascii="DecimaWE Rg" w:hAnsi="DecimaWE Rg"/>
          <w:sz w:val="24"/>
          <w:szCs w:val="24"/>
          <w:shd w:fill="auto" w:val="clear"/>
        </w:rPr>
        <w:t>, presso un istituto scolastico secondario di secondo grado tra quelli accreditati della Croazia, da parte un gruppo composto approssimativamente da 15 studenti (dell’età dai 16 ai 18 anni) proveni</w:t>
      </w:r>
      <w:r>
        <w:rPr>
          <w:rFonts w:cs="DecimaWE Rg" w:ascii="DecimaWE Rg" w:hAnsi="DecimaWE Rg"/>
          <w:sz w:val="24"/>
          <w:szCs w:val="24"/>
        </w:rPr>
        <w:t>enti da scuole estere accreditate.</w:t>
      </w:r>
    </w:p>
    <w:p>
      <w:pPr>
        <w:pStyle w:val="Normal"/>
        <w:spacing w:lineRule="auto" w:line="240" w:before="0" w:after="0"/>
        <w:jc w:val="both"/>
        <w:rPr>
          <w:rFonts w:cs="DecimaWE Rg" w:ascii="DecimaWE Rg" w:hAnsi="DecimaWE Rg"/>
          <w:sz w:val="24"/>
          <w:szCs w:val="24"/>
        </w:rPr>
      </w:pPr>
      <w:r>
        <w:rPr>
          <w:rFonts w:cs="DecimaWE Rg" w:ascii="DecimaWE Rg" w:hAnsi="DecimaWE Rg"/>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t>Articolo 4 – Modalità di partecipazione e adempimenti</w:t>
      </w:r>
    </w:p>
    <w:p>
      <w:pPr>
        <w:pStyle w:val="Normal"/>
        <w:spacing w:lineRule="auto" w:line="240" w:before="0" w:after="0"/>
        <w:jc w:val="both"/>
        <w:rPr>
          <w:rFonts w:cs="DecimaWE Rg" w:ascii="DecimaWE Rg" w:hAnsi="DecimaWE Rg"/>
          <w:sz w:val="24"/>
          <w:szCs w:val="24"/>
        </w:rPr>
      </w:pPr>
      <w:r>
        <w:rPr>
          <w:rFonts w:cs="DecimaWE Rg" w:ascii="DecimaWE Rg" w:hAnsi="DecimaWE Rg"/>
          <w:sz w:val="24"/>
          <w:szCs w:val="24"/>
        </w:rPr>
      </w:r>
    </w:p>
    <w:p>
      <w:pPr>
        <w:pStyle w:val="ListParagraph"/>
        <w:numPr>
          <w:ilvl w:val="0"/>
          <w:numId w:val="1"/>
        </w:numPr>
        <w:jc w:val="both"/>
        <w:rPr>
          <w:rFonts w:cs="DecimaWE Rg" w:ascii="DecimaWE Rg" w:hAnsi="DecimaWE Rg"/>
          <w:sz w:val="24"/>
          <w:szCs w:val="24"/>
          <w:lang w:eastAsia="it-IT"/>
        </w:rPr>
      </w:pPr>
      <w:r>
        <w:rPr>
          <w:rFonts w:cs="DecimaWE Rg" w:ascii="DecimaWE Rg" w:hAnsi="DecimaWE Rg"/>
          <w:sz w:val="24"/>
          <w:szCs w:val="24"/>
          <w:lang w:eastAsia="it-IT"/>
        </w:rPr>
        <w:t>Per partecipare al programma e inviare e ospitare studenti in scambio, gli Istituti Secondari di secondo grado dovranno essere “accreditati” all'interno del progetto BLUE KEP. Potranno partecipare alla procedura per l’accreditamento gli istituti tecnici trasporti e logistica - settore nautica che siano in grado di offrire un valore aggiunto per gli studenti in termini di politiche di istruzione, attività pomeridiane extracurriculari, moduli di insegnamento internazionali, metodologia CLIL (Content and Language Integrated Learning), l’uso di diverse lingue, laboratori e attrezzature specifiche del settore. Le scuole accreditate dovranno inoltre essere caratterizzate dalla disponibilità di insegnanti di materie inerenti le discipline nautiche, insegnanti che conoscano la lingua inglese, avere la disponibilità di un convitto o essere in grado di fornire agli studenti una sistemazione. All’interno del programma di mobilità offerto, le scuole selezionate permetteranno agli studenti coinvolti di acquisire sia conoscenze di tipo educativo che professionale attraverso l’esperienza di alternanza scuola/lavoro presso aziende selezionate.</w:t>
      </w:r>
    </w:p>
    <w:p>
      <w:pPr>
        <w:pStyle w:val="Normal"/>
        <w:spacing w:lineRule="auto" w:line="240" w:before="0" w:after="0"/>
        <w:ind w:left="360" w:right="0" w:hanging="0"/>
        <w:jc w:val="both"/>
        <w:rPr>
          <w:rFonts w:cs="DecimaWE Rg" w:ascii="DecimaWE Rg" w:hAnsi="DecimaWE Rg"/>
          <w:sz w:val="24"/>
          <w:szCs w:val="24"/>
        </w:rPr>
      </w:pPr>
      <w:r>
        <w:rPr>
          <w:rFonts w:cs="DecimaWE Rg" w:ascii="DecimaWE Rg" w:hAnsi="DecimaWE Rg"/>
          <w:sz w:val="24"/>
          <w:szCs w:val="24"/>
        </w:rPr>
      </w:r>
    </w:p>
    <w:p>
      <w:pPr>
        <w:pStyle w:val="Normal"/>
        <w:numPr>
          <w:ilvl w:val="0"/>
          <w:numId w:val="1"/>
        </w:numPr>
        <w:spacing w:lineRule="auto" w:line="240" w:before="0" w:after="0"/>
        <w:jc w:val="both"/>
        <w:rPr>
          <w:rFonts w:cs="DecimaWE Rg" w:ascii="DecimaWE Rg" w:hAnsi="DecimaWE Rg"/>
          <w:sz w:val="24"/>
          <w:szCs w:val="24"/>
        </w:rPr>
      </w:pPr>
      <w:r>
        <w:rPr>
          <w:rFonts w:cs="DecimaWE Rg" w:ascii="DecimaWE Rg" w:hAnsi="DecimaWE Rg"/>
          <w:sz w:val="24"/>
          <w:szCs w:val="24"/>
        </w:rPr>
        <w:t>Gli istituti selezionati per l’accreditamento (max 3) all’interno del progetto BLUE KEP saranno supportati dal Gruppo Tecnico di Lavoro nominato dalla Commissione Pilota del progetto BLUE KEP.. Gli insegnanti delle scuole coinvolte parteciperanno a workshop e visite studio organizzate dai partner di progetto per realizzare le finalità di BLUE KEP. Gli insegnanti saranno inoltre coinvolti nella creazione dei "moduli internazionali comuni", nella sperimentazione di soluzioni per la standardizzazione di curricula, riconoscimento di crediti e competenze acquisite dai loro studenti durante il periodo di scambio, che saranno aggiunti ai curricula standard degli studenti.</w:t>
      </w:r>
    </w:p>
    <w:p>
      <w:pPr>
        <w:pStyle w:val="Normal"/>
        <w:spacing w:lineRule="auto" w:line="240" w:before="0" w:after="0"/>
        <w:jc w:val="both"/>
        <w:rPr/>
      </w:pPr>
      <w:r>
        <w:rPr/>
      </w:r>
    </w:p>
    <w:p>
      <w:pPr>
        <w:pStyle w:val="Normal"/>
        <w:numPr>
          <w:ilvl w:val="0"/>
          <w:numId w:val="1"/>
        </w:numPr>
        <w:spacing w:lineRule="auto" w:line="240" w:before="0" w:after="0"/>
        <w:jc w:val="both"/>
        <w:rPr>
          <w:rFonts w:cs="DecimaWE Rg" w:ascii="DecimaWE Rg" w:hAnsi="DecimaWE Rg"/>
          <w:sz w:val="24"/>
          <w:szCs w:val="24"/>
        </w:rPr>
      </w:pPr>
      <w:r>
        <w:rPr>
          <w:rFonts w:cs="DecimaWE Rg" w:ascii="DecimaWE Rg" w:hAnsi="DecimaWE Rg"/>
          <w:sz w:val="24"/>
          <w:szCs w:val="24"/>
        </w:rPr>
        <w:t>Gli istituti scolastici che saranno selezionati per l'accreditamento all'interno del progetto BLUE KEP, nomineranno una Commissione di insegnanti (IC) e individueranno al loro interno un tutor didattico che collaborerà con il Grupoo Tecnico di Lavoro.</w:t>
      </w:r>
    </w:p>
    <w:p>
      <w:pPr>
        <w:pStyle w:val="ListParagraph"/>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numPr>
          <w:ilvl w:val="0"/>
          <w:numId w:val="1"/>
        </w:numPr>
        <w:spacing w:lineRule="auto" w:line="240" w:before="0" w:after="0"/>
        <w:jc w:val="both"/>
        <w:rPr>
          <w:rFonts w:cs="DecimaWE Rg" w:ascii="DecimaWE Rg" w:hAnsi="DecimaWE Rg"/>
          <w:sz w:val="24"/>
          <w:szCs w:val="24"/>
        </w:rPr>
      </w:pPr>
      <w:r>
        <w:rPr>
          <w:rFonts w:cs="DecimaWE Rg" w:ascii="DecimaWE Rg" w:hAnsi="DecimaWE Rg"/>
          <w:sz w:val="24"/>
          <w:szCs w:val="24"/>
        </w:rPr>
        <w:t>I partner del progetto KEPASS sono:</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Informest – ITALIA – CAPOFILA</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Euroregione Adriatico-Ionica (AIE) CROAZIA</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Regione Marche – ITALIA</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Regione dell'Istria – CROAZIA</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Agenzia di Sviluppo Pubblica della Contea di Sebenico - CROAZIA</w:t>
      </w:r>
    </w:p>
    <w:p>
      <w:pPr>
        <w:pStyle w:val="ListParagraph"/>
        <w:numPr>
          <w:ilvl w:val="0"/>
          <w:numId w:val="8"/>
        </w:numPr>
        <w:spacing w:lineRule="auto" w:line="240" w:before="0" w:after="0"/>
        <w:jc w:val="both"/>
        <w:rPr>
          <w:rFonts w:cs="DecimaWE Rg" w:ascii="DecimaWE Rg" w:hAnsi="DecimaWE Rg"/>
          <w:sz w:val="24"/>
          <w:szCs w:val="24"/>
        </w:rPr>
      </w:pPr>
      <w:r>
        <w:rPr>
          <w:rFonts w:cs="DecimaWE Rg" w:ascii="DecimaWE Rg" w:hAnsi="DecimaWE Rg"/>
          <w:sz w:val="24"/>
          <w:szCs w:val="24"/>
        </w:rPr>
        <w:t>Istituzione Pubblica Rera Sd per il Coordinamento e Sviluppo della Contea Spalato-Dalmazia  - CROAZIA</w:t>
      </w:r>
    </w:p>
    <w:p>
      <w:pPr>
        <w:pStyle w:val="ListParagraph"/>
        <w:spacing w:lineRule="auto" w:line="240" w:before="0" w:after="0"/>
        <w:ind w:left="1080" w:right="0" w:hanging="0"/>
        <w:jc w:val="both"/>
        <w:rPr>
          <w:rFonts w:cs="DecimaWE Rg" w:ascii="DecimaWE Rg" w:hAnsi="DecimaWE Rg"/>
          <w:sz w:val="24"/>
          <w:szCs w:val="24"/>
        </w:rPr>
      </w:pPr>
      <w:r>
        <w:rPr>
          <w:rFonts w:cs="DecimaWE Rg" w:ascii="DecimaWE Rg" w:hAnsi="DecimaWE Rg"/>
          <w:sz w:val="24"/>
          <w:szCs w:val="24"/>
        </w:rPr>
      </w:r>
    </w:p>
    <w:p>
      <w:pPr>
        <w:pStyle w:val="ListParagraph"/>
        <w:numPr>
          <w:ilvl w:val="0"/>
          <w:numId w:val="1"/>
        </w:numPr>
        <w:jc w:val="both"/>
        <w:rPr>
          <w:rFonts w:cs="DecimaWE Rg" w:ascii="DecimaWE Rg" w:hAnsi="DecimaWE Rg"/>
          <w:sz w:val="24"/>
          <w:szCs w:val="24"/>
        </w:rPr>
      </w:pPr>
      <w:r>
        <w:rPr>
          <w:rFonts w:cs="DecimaWE Rg" w:ascii="DecimaWE Rg" w:hAnsi="DecimaWE Rg"/>
          <w:sz w:val="24"/>
          <w:szCs w:val="24"/>
        </w:rPr>
        <w:t>La copertura finanziaria delle attività previste dai commi 3 e 4 è completamente assicurata a valere sul progetto BLUE KEP finanziato dal Programma di cooperazione territoriale transfrontaliera Interreg V-A 2014-2020.</w:t>
      </w:r>
    </w:p>
    <w:p>
      <w:pPr>
        <w:pStyle w:val="ListParagraph"/>
        <w:ind w:left="360" w:right="0" w:hanging="0"/>
        <w:rPr>
          <w:rFonts w:cs="DecimaWE Rg" w:ascii="DecimaWE Rg" w:hAnsi="DecimaWE Rg"/>
          <w:sz w:val="24"/>
          <w:szCs w:val="24"/>
        </w:rPr>
      </w:pPr>
      <w:r>
        <w:rPr>
          <w:rFonts w:cs="DecimaWE Rg" w:ascii="DecimaWE Rg" w:hAnsi="DecimaWE Rg"/>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t>Articolo 5 - Soggetti ammissibili</w:t>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r>
    </w:p>
    <w:p>
      <w:pPr>
        <w:pStyle w:val="Normal"/>
        <w:spacing w:lineRule="auto" w:line="240" w:before="0" w:after="0"/>
        <w:jc w:val="center"/>
        <w:rPr>
          <w:rFonts w:cs="DecimaWE Rg" w:ascii="DecimaWE Rg" w:hAnsi="DecimaWE Rg"/>
          <w:b/>
          <w:sz w:val="24"/>
          <w:szCs w:val="24"/>
        </w:rPr>
      </w:pPr>
      <w:r>
        <w:rPr>
          <w:rFonts w:cs="DecimaWE Rg" w:ascii="DecimaWE Rg" w:hAnsi="DecimaWE Rg"/>
          <w:b/>
          <w:sz w:val="24"/>
          <w:szCs w:val="24"/>
        </w:rPr>
      </w:r>
    </w:p>
    <w:p>
      <w:pPr>
        <w:pStyle w:val="Normal"/>
        <w:spacing w:lineRule="auto" w:line="240" w:before="0" w:after="0"/>
        <w:jc w:val="both"/>
        <w:rPr>
          <w:rFonts w:cs="DecimaWE Rg" w:ascii="DecimaWE Rg" w:hAnsi="DecimaWE Rg"/>
          <w:sz w:val="24"/>
          <w:szCs w:val="24"/>
        </w:rPr>
      </w:pPr>
      <w:r>
        <w:rPr>
          <w:rFonts w:cs="DecimaWE Rg" w:ascii="DecimaWE Rg" w:hAnsi="DecimaWE Rg"/>
          <w:sz w:val="24"/>
          <w:szCs w:val="24"/>
        </w:rPr>
        <w:t>La domanda di accreditamento ai sensi dell’Art. 1 deve essere presentata:</w:t>
      </w:r>
    </w:p>
    <w:p>
      <w:pPr>
        <w:pStyle w:val="ListParagraph"/>
        <w:numPr>
          <w:ilvl w:val="0"/>
          <w:numId w:val="9"/>
        </w:numPr>
        <w:spacing w:lineRule="auto" w:line="240" w:before="0" w:after="0"/>
        <w:jc w:val="both"/>
        <w:rPr>
          <w:rFonts w:cs="DecimaWE Rg" w:ascii="DecimaWE Rg" w:hAnsi="DecimaWE Rg"/>
          <w:sz w:val="24"/>
          <w:szCs w:val="24"/>
        </w:rPr>
      </w:pPr>
      <w:r>
        <w:rPr>
          <w:rFonts w:cs="DecimaWE Rg" w:ascii="DecimaWE Rg" w:hAnsi="DecimaWE Rg"/>
          <w:sz w:val="24"/>
          <w:szCs w:val="24"/>
        </w:rPr>
        <w:t>Da Istituti Tecnici Trasporti e Logistica – settore nautica, avente sede legale o operativa nella Regione Marche.</w:t>
      </w:r>
    </w:p>
    <w:p>
      <w:pPr>
        <w:pStyle w:val="ListParagraph"/>
        <w:numPr>
          <w:ilvl w:val="0"/>
          <w:numId w:val="9"/>
        </w:numPr>
        <w:spacing w:lineRule="auto" w:line="240" w:before="0" w:after="0"/>
        <w:jc w:val="both"/>
        <w:rPr>
          <w:rFonts w:cs="DecimaWE Rg" w:ascii="DecimaWE Rg" w:hAnsi="DecimaWE Rg"/>
          <w:sz w:val="24"/>
          <w:szCs w:val="24"/>
        </w:rPr>
      </w:pPr>
      <w:r>
        <w:rPr>
          <w:rFonts w:cs="DecimaWE Rg" w:ascii="DecimaWE Rg" w:hAnsi="DecimaWE Rg"/>
          <w:sz w:val="24"/>
          <w:szCs w:val="24"/>
        </w:rPr>
        <w:t>Gli Istituti non potranno presentare più di una domanda.</w:t>
      </w:r>
    </w:p>
    <w:p>
      <w:pPr>
        <w:pStyle w:val="Normal"/>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6 - Commissione tecnica di valutazione</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t xml:space="preserve">La Commissione tecnica, </w:t>
      </w:r>
      <w:bookmarkStart w:id="0" w:name="__DdeLink__1074_858528537"/>
      <w:r>
        <w:rPr>
          <w:rFonts w:cs="DecimaWE Rg" w:ascii="DecimaWE Rg" w:hAnsi="DecimaWE Rg"/>
          <w:sz w:val="24"/>
          <w:szCs w:val="24"/>
          <w:lang w:eastAsia="it-IT"/>
        </w:rPr>
        <w:t>istituita con decreto del Dirigente P.F. Istruzione, Formazione, Orientamento e servizi territoriali per la formazione e servizi per il mercato del lavoro (centri per l'impiego)</w:t>
      </w:r>
      <w:bookmarkEnd w:id="0"/>
      <w:r>
        <w:rPr>
          <w:rFonts w:cs="DecimaWE Rg" w:ascii="DecimaWE Rg" w:hAnsi="DecimaWE Rg"/>
          <w:sz w:val="24"/>
          <w:szCs w:val="24"/>
          <w:lang w:eastAsia="it-IT"/>
        </w:rPr>
        <w:t>,</w:t>
      </w:r>
      <w:r>
        <w:rPr>
          <w:rFonts w:cs="DecimaWE Rg" w:ascii="DecimaWE Rg" w:hAnsi="DecimaWE Rg"/>
          <w:sz w:val="24"/>
          <w:szCs w:val="24"/>
        </w:rPr>
        <w:t xml:space="preserve"> </w:t>
      </w:r>
      <w:r>
        <w:rPr>
          <w:rFonts w:cs="DecimaWE Rg" w:ascii="DecimaWE Rg" w:hAnsi="DecimaWE Rg"/>
          <w:sz w:val="24"/>
          <w:szCs w:val="24"/>
          <w:lang w:eastAsia="it-IT"/>
        </w:rPr>
        <w:t>accerta la sussistenza dei requisiti soggettivi ed oggettivi di cui agli articoli 2, 3 e 5, disponendo eventuali esclusioni e procede, sulla base dei criteri di cui al successivo art. 7, alla valutazione comparativa delle domande di accreditamento risultate ammissibili.</w:t>
      </w:r>
    </w:p>
    <w:p>
      <w:pPr>
        <w:pStyle w:val="Normal"/>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7 - Criteri di valutazione</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numPr>
          <w:ilvl w:val="0"/>
          <w:numId w:val="7"/>
        </w:numPr>
        <w:tabs>
          <w:tab w:val="left" w:pos="240" w:leader="none"/>
          <w:tab w:val="left" w:pos="285" w:leader="none"/>
        </w:tabs>
        <w:spacing w:lineRule="auto" w:line="240" w:before="0" w:after="0"/>
        <w:ind w:left="357" w:right="0" w:hanging="360"/>
        <w:jc w:val="both"/>
        <w:rPr>
          <w:rFonts w:cs="DecimaWE Rg" w:ascii="DecimaWE Rg" w:hAnsi="DecimaWE Rg"/>
          <w:sz w:val="24"/>
          <w:szCs w:val="24"/>
        </w:rPr>
      </w:pPr>
      <w:bookmarkStart w:id="1" w:name="__DdeLink__5095_1584956107"/>
      <w:bookmarkEnd w:id="1"/>
      <w:r>
        <w:rPr>
          <w:rFonts w:cs="DecimaWE Rg" w:ascii="DecimaWE Rg" w:hAnsi="DecimaWE Rg"/>
          <w:sz w:val="24"/>
          <w:szCs w:val="24"/>
        </w:rPr>
        <w:t>Ai fini della valutazione delle domande di accreditamento e della formulazione della graduatoria, sono stabiliti i seguenti criteri e i relativi punteggi:</w:t>
      </w:r>
    </w:p>
    <w:p>
      <w:pPr>
        <w:pStyle w:val="Normal"/>
        <w:numPr>
          <w:ilvl w:val="1"/>
          <w:numId w:val="7"/>
        </w:numPr>
        <w:spacing w:lineRule="auto" w:line="240" w:before="0" w:after="0"/>
        <w:ind w:left="924" w:right="0" w:hanging="360"/>
        <w:jc w:val="both"/>
        <w:rPr>
          <w:rFonts w:cs="DecimaWE Rg" w:ascii="DecimaWE Rg" w:hAnsi="DecimaWE Rg"/>
          <w:sz w:val="24"/>
          <w:szCs w:val="24"/>
        </w:rPr>
      </w:pPr>
      <w:r>
        <w:rPr>
          <w:rFonts w:cs="DecimaWE Rg" w:ascii="DecimaWE Rg" w:hAnsi="DecimaWE Rg"/>
          <w:sz w:val="24"/>
          <w:szCs w:val="24"/>
        </w:rPr>
        <w:t xml:space="preserve">Presenza nell’istituto scolastico di attività curricolari o extra-curricolari in orario pomeridiano, fino ad un massimo di </w:t>
      </w:r>
      <w:r>
        <w:rPr>
          <w:rFonts w:cs="DecimaWE Rg" w:ascii="DecimaWE Rg" w:hAnsi="DecimaWE Rg"/>
          <w:b/>
          <w:bCs/>
          <w:sz w:val="24"/>
          <w:szCs w:val="24"/>
        </w:rPr>
        <w:t>punti 35</w:t>
      </w:r>
      <w:r>
        <w:rPr>
          <w:rFonts w:cs="DecimaWE Rg" w:ascii="DecimaWE Rg" w:hAnsi="DecimaWE Rg"/>
          <w:sz w:val="24"/>
          <w:szCs w:val="24"/>
        </w:rPr>
        <w:t xml:space="preserve"> così indicati:</w:t>
      </w:r>
    </w:p>
    <w:p>
      <w:pPr>
        <w:pStyle w:val="ListParagraph"/>
        <w:numPr>
          <w:ilvl w:val="0"/>
          <w:numId w:val="10"/>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Numero di ore complessive settimanali di apertura pomeridiana, (da considerare a partire dalle ore 13):</w:t>
      </w:r>
    </w:p>
    <w:p>
      <w:pPr>
        <w:pStyle w:val="ListParagraph"/>
        <w:numPr>
          <w:ilvl w:val="0"/>
          <w:numId w:val="10"/>
        </w:numPr>
        <w:spacing w:lineRule="auto" w:line="240" w:before="0" w:after="0"/>
        <w:jc w:val="both"/>
        <w:rPr>
          <w:rFonts w:cs="DecimaWE Rg" w:ascii="DecimaWE Rg" w:hAnsi="DecimaWE Rg"/>
          <w:sz w:val="24"/>
          <w:szCs w:val="24"/>
        </w:rPr>
      </w:pPr>
      <w:r>
        <w:rPr>
          <w:rFonts w:cs="DecimaWE Rg" w:ascii="DecimaWE Rg" w:hAnsi="DecimaWE Rg"/>
          <w:sz w:val="24"/>
          <w:szCs w:val="24"/>
        </w:rPr>
        <w:t xml:space="preserve">da 6 a 10 – fino a 5 punti </w:t>
      </w:r>
    </w:p>
    <w:p>
      <w:pPr>
        <w:pStyle w:val="ListParagraph"/>
        <w:numPr>
          <w:ilvl w:val="0"/>
          <w:numId w:val="10"/>
        </w:numPr>
        <w:spacing w:lineRule="auto" w:line="240" w:before="0" w:after="0"/>
        <w:jc w:val="both"/>
        <w:rPr>
          <w:rFonts w:cs="DecimaWE Rg" w:ascii="DecimaWE Rg" w:hAnsi="DecimaWE Rg"/>
          <w:sz w:val="24"/>
          <w:szCs w:val="24"/>
        </w:rPr>
      </w:pPr>
      <w:r>
        <w:rPr>
          <w:rFonts w:cs="DecimaWE Rg" w:ascii="DecimaWE Rg" w:hAnsi="DecimaWE Rg"/>
          <w:sz w:val="24"/>
          <w:szCs w:val="24"/>
        </w:rPr>
        <w:t>da 11 a 15 – fino a 20 punti</w:t>
      </w:r>
    </w:p>
    <w:p>
      <w:pPr>
        <w:pStyle w:val="ListParagraph"/>
        <w:numPr>
          <w:ilvl w:val="0"/>
          <w:numId w:val="10"/>
        </w:numPr>
        <w:spacing w:lineRule="auto" w:line="240" w:before="0" w:after="0"/>
        <w:jc w:val="both"/>
        <w:rPr>
          <w:rFonts w:cs="DecimaWE Rg" w:ascii="DecimaWE Rg" w:hAnsi="DecimaWE Rg"/>
          <w:sz w:val="24"/>
          <w:szCs w:val="24"/>
        </w:rPr>
      </w:pPr>
      <w:r>
        <w:rPr>
          <w:rFonts w:cs="DecimaWE Rg" w:ascii="DecimaWE Rg" w:hAnsi="DecimaWE Rg"/>
          <w:sz w:val="24"/>
          <w:szCs w:val="24"/>
        </w:rPr>
        <w:t>da 16 a 20 – fino a 25 punti</w:t>
      </w:r>
    </w:p>
    <w:p>
      <w:pPr>
        <w:pStyle w:val="ListParagraph"/>
        <w:numPr>
          <w:ilvl w:val="0"/>
          <w:numId w:val="10"/>
        </w:numPr>
        <w:spacing w:lineRule="auto" w:line="240" w:before="0" w:after="0"/>
        <w:jc w:val="both"/>
        <w:rPr>
          <w:rFonts w:cs="DecimaWE Rg" w:ascii="DecimaWE Rg" w:hAnsi="DecimaWE Rg"/>
          <w:sz w:val="24"/>
          <w:szCs w:val="24"/>
        </w:rPr>
      </w:pPr>
      <w:r>
        <w:rPr>
          <w:rFonts w:cs="DecimaWE Rg" w:ascii="DecimaWE Rg" w:hAnsi="DecimaWE Rg"/>
          <w:sz w:val="24"/>
          <w:szCs w:val="24"/>
        </w:rPr>
        <w:t>da 21 e oltre – fino a 35 punti</w:t>
      </w:r>
    </w:p>
    <w:p>
      <w:pPr>
        <w:pStyle w:val="ListParagraph"/>
        <w:spacing w:lineRule="auto" w:line="240" w:before="0" w:after="0"/>
        <w:ind w:left="1800" w:right="0" w:hanging="0"/>
        <w:jc w:val="both"/>
        <w:rPr>
          <w:rFonts w:cs="DecimaWE Rg" w:ascii="DecimaWE Rg" w:hAnsi="DecimaWE Rg"/>
          <w:sz w:val="24"/>
          <w:szCs w:val="24"/>
        </w:rPr>
      </w:pPr>
      <w:r>
        <w:rPr>
          <w:rFonts w:cs="DecimaWE Rg" w:ascii="DecimaWE Rg" w:hAnsi="DecimaWE Rg"/>
          <w:sz w:val="24"/>
          <w:szCs w:val="24"/>
        </w:rPr>
      </w:r>
    </w:p>
    <w:p>
      <w:pPr>
        <w:pStyle w:val="Normal"/>
        <w:numPr>
          <w:ilvl w:val="1"/>
          <w:numId w:val="7"/>
        </w:numPr>
        <w:spacing w:lineRule="auto" w:line="240" w:before="0" w:after="0"/>
        <w:ind w:left="924" w:right="0" w:hanging="360"/>
        <w:jc w:val="both"/>
        <w:rPr>
          <w:rFonts w:cs="DecimaWE Rg" w:ascii="DecimaWE Rg" w:hAnsi="DecimaWE Rg"/>
          <w:sz w:val="24"/>
          <w:szCs w:val="24"/>
        </w:rPr>
      </w:pPr>
      <w:r>
        <w:rPr>
          <w:rFonts w:cs="DecimaWE Rg" w:ascii="DecimaWE Rg" w:hAnsi="DecimaWE Rg"/>
          <w:sz w:val="24"/>
          <w:szCs w:val="24"/>
        </w:rPr>
        <w:t xml:space="preserve">Percentuale di utilizzo nella didattica di una delle seguenti lingue, all’interno del piano di studi della classe/classi di inserimento degli alunni in mobilità, calcolata su base settimanale, fino ad un massimo di </w:t>
      </w:r>
      <w:r>
        <w:rPr>
          <w:rFonts w:cs="DecimaWE Rg" w:ascii="DecimaWE Rg" w:hAnsi="DecimaWE Rg"/>
          <w:b/>
          <w:bCs/>
          <w:sz w:val="24"/>
          <w:szCs w:val="24"/>
        </w:rPr>
        <w:t>punti 30</w:t>
      </w:r>
      <w:r>
        <w:rPr>
          <w:rFonts w:cs="DecimaWE Rg" w:ascii="DecimaWE Rg" w:hAnsi="DecimaWE Rg"/>
          <w:sz w:val="24"/>
          <w:szCs w:val="24"/>
        </w:rPr>
        <w:t xml:space="preserve"> così indicati:</w:t>
      </w:r>
    </w:p>
    <w:p>
      <w:pPr>
        <w:pStyle w:val="Normal"/>
        <w:numPr>
          <w:ilvl w:val="2"/>
          <w:numId w:val="7"/>
        </w:numPr>
        <w:spacing w:lineRule="auto" w:line="240" w:before="0" w:after="0"/>
        <w:ind w:left="1491" w:right="0" w:hanging="360"/>
        <w:contextualSpacing/>
        <w:jc w:val="both"/>
        <w:rPr>
          <w:rFonts w:cs="DecimaWE Rg" w:ascii="DecimaWE Rg" w:hAnsi="DecimaWE Rg"/>
          <w:sz w:val="24"/>
          <w:szCs w:val="24"/>
        </w:rPr>
      </w:pPr>
      <w:r>
        <w:rPr>
          <w:rFonts w:cs="DecimaWE Rg" w:ascii="DecimaWE Rg" w:hAnsi="DecimaWE Rg"/>
          <w:sz w:val="24"/>
          <w:szCs w:val="24"/>
        </w:rPr>
        <w:t>Uso di due lingue: Inglese e altra lingua parlata nei Paesi partner di progetto di cui all’art. 4, comma 4 (esclusa la lingua italiana), a seconda della percentuale del monte ore del piano di studi settimanale, calcolata nel seguente modo:</w:t>
      </w:r>
    </w:p>
    <w:p>
      <w:pPr>
        <w:pStyle w:val="Normal"/>
        <w:spacing w:lineRule="auto" w:line="240" w:before="0" w:after="0"/>
        <w:ind w:left="1980" w:right="0" w:hanging="0"/>
        <w:jc w:val="both"/>
        <w:rPr>
          <w:rFonts w:cs="DecimaWE Rg" w:ascii="DecimaWE Rg" w:hAnsi="DecimaWE Rg"/>
          <w:sz w:val="24"/>
          <w:szCs w:val="24"/>
        </w:rPr>
      </w:pPr>
      <w:r>
        <w:rPr>
          <w:rFonts w:cs="DecimaWE Rg" w:ascii="DecimaWE Rg" w:hAnsi="DecimaWE Rg"/>
          <w:sz w:val="24"/>
          <w:szCs w:val="24"/>
        </w:rPr>
      </w:r>
    </w:p>
    <w:tbl>
      <w:tblPr>
        <w:jc w:val="left"/>
        <w:tblInd w:w="233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3568"/>
        <w:gridCol w:w="3434"/>
      </w:tblGrid>
      <w:tr>
        <w:trPr>
          <w:cantSplit w:val="false"/>
        </w:trPr>
        <w:tc>
          <w:tcPr>
            <w:tcW w:w="3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 xml:space="preserve">Superiore al 50% </w:t>
            </w:r>
          </w:p>
        </w:tc>
        <w:tc>
          <w:tcPr>
            <w:tcW w:w="3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Fino a 30 punti</w:t>
            </w:r>
          </w:p>
        </w:tc>
      </w:tr>
      <w:tr>
        <w:trPr>
          <w:cantSplit w:val="false"/>
        </w:trPr>
        <w:tc>
          <w:tcPr>
            <w:tcW w:w="3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Inferiore al 50% e superiore al 10%</w:t>
            </w:r>
          </w:p>
        </w:tc>
        <w:tc>
          <w:tcPr>
            <w:tcW w:w="3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Fino a 20 punti</w:t>
            </w:r>
          </w:p>
        </w:tc>
      </w:tr>
    </w:tbl>
    <w:p>
      <w:pPr>
        <w:pStyle w:val="Normal"/>
        <w:spacing w:lineRule="auto" w:line="240" w:before="0" w:after="0"/>
        <w:ind w:left="1980" w:right="0" w:hanging="0"/>
        <w:jc w:val="both"/>
        <w:rPr>
          <w:rFonts w:cs="DecimaWE Rg" w:ascii="DecimaWE Rg" w:hAnsi="DecimaWE Rg"/>
          <w:sz w:val="24"/>
          <w:szCs w:val="24"/>
        </w:rPr>
      </w:pPr>
      <w:r>
        <w:rPr>
          <w:rFonts w:cs="DecimaWE Rg" w:ascii="DecimaWE Rg" w:hAnsi="DecimaWE Rg"/>
          <w:sz w:val="24"/>
          <w:szCs w:val="24"/>
        </w:rPr>
      </w:r>
    </w:p>
    <w:p>
      <w:pPr>
        <w:pStyle w:val="Normal"/>
        <w:numPr>
          <w:ilvl w:val="2"/>
          <w:numId w:val="7"/>
        </w:numPr>
        <w:spacing w:lineRule="auto" w:line="240" w:before="0" w:after="0"/>
        <w:ind w:left="1491" w:right="0" w:hanging="360"/>
        <w:contextualSpacing/>
        <w:jc w:val="both"/>
        <w:rPr>
          <w:rFonts w:cs="DecimaWE Rg" w:ascii="DecimaWE Rg" w:hAnsi="DecimaWE Rg"/>
          <w:sz w:val="24"/>
          <w:szCs w:val="24"/>
        </w:rPr>
      </w:pPr>
      <w:r>
        <w:rPr>
          <w:rFonts w:cs="DecimaWE Rg" w:ascii="DecimaWE Rg" w:hAnsi="DecimaWE Rg"/>
          <w:sz w:val="24"/>
          <w:szCs w:val="24"/>
        </w:rPr>
        <w:t>Uso di un’unica lingua, Inglese o altra lingua parlata nei Paesi partner di progetto di cui all’art. 4, comma 4 (esclusa la lingua italiana), a seconda della percentuale del monte ore del piano di studi settimanale, calcolata nel seguente modo:</w:t>
      </w:r>
    </w:p>
    <w:p>
      <w:pPr>
        <w:pStyle w:val="Normal"/>
        <w:spacing w:lineRule="auto" w:line="240" w:before="0" w:after="0"/>
        <w:ind w:left="1980" w:right="0" w:hanging="0"/>
        <w:jc w:val="both"/>
        <w:rPr>
          <w:rFonts w:cs="DecimaWE Rg" w:ascii="DecimaWE Rg" w:hAnsi="DecimaWE Rg"/>
          <w:sz w:val="24"/>
          <w:szCs w:val="24"/>
        </w:rPr>
      </w:pPr>
      <w:r>
        <w:rPr>
          <w:rFonts w:cs="DecimaWE Rg" w:ascii="DecimaWE Rg" w:hAnsi="DecimaWE Rg"/>
          <w:sz w:val="24"/>
          <w:szCs w:val="24"/>
        </w:rPr>
      </w:r>
    </w:p>
    <w:tbl>
      <w:tblPr>
        <w:jc w:val="left"/>
        <w:tblInd w:w="233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3568"/>
        <w:gridCol w:w="3434"/>
      </w:tblGrid>
      <w:tr>
        <w:trPr>
          <w:cantSplit w:val="false"/>
        </w:trPr>
        <w:tc>
          <w:tcPr>
            <w:tcW w:w="3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 xml:space="preserve">Superiore al 50% </w:t>
            </w:r>
          </w:p>
        </w:tc>
        <w:tc>
          <w:tcPr>
            <w:tcW w:w="3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Fino a 25 punti</w:t>
            </w:r>
          </w:p>
        </w:tc>
      </w:tr>
      <w:tr>
        <w:trPr>
          <w:cantSplit w:val="false"/>
        </w:trPr>
        <w:tc>
          <w:tcPr>
            <w:tcW w:w="3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Inferiore al 50% e superiore al 10%</w:t>
            </w:r>
          </w:p>
        </w:tc>
        <w:tc>
          <w:tcPr>
            <w:tcW w:w="3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jc w:val="both"/>
              <w:rPr>
                <w:rFonts w:cs="DecimaWE Rg" w:ascii="DecimaWE Rg" w:hAnsi="DecimaWE Rg"/>
                <w:sz w:val="24"/>
                <w:szCs w:val="24"/>
              </w:rPr>
            </w:pPr>
            <w:r>
              <w:rPr>
                <w:rFonts w:cs="DecimaWE Rg" w:ascii="DecimaWE Rg" w:hAnsi="DecimaWE Rg"/>
                <w:sz w:val="24"/>
                <w:szCs w:val="24"/>
              </w:rPr>
              <w:t>Fino a 15 punti</w:t>
            </w:r>
          </w:p>
        </w:tc>
      </w:tr>
    </w:tbl>
    <w:p>
      <w:pPr>
        <w:pStyle w:val="Normal"/>
        <w:spacing w:lineRule="auto" w:line="240" w:before="0" w:after="0"/>
        <w:ind w:left="1980" w:right="0" w:hanging="0"/>
        <w:jc w:val="both"/>
        <w:rPr>
          <w:rFonts w:cs="DecimaWE Rg" w:ascii="DecimaWE Rg" w:hAnsi="DecimaWE Rg"/>
          <w:sz w:val="24"/>
          <w:szCs w:val="24"/>
        </w:rPr>
      </w:pPr>
      <w:r>
        <w:rPr>
          <w:rFonts w:cs="DecimaWE Rg" w:ascii="DecimaWE Rg" w:hAnsi="DecimaWE Rg"/>
          <w:sz w:val="24"/>
          <w:szCs w:val="24"/>
        </w:rPr>
      </w:r>
    </w:p>
    <w:p>
      <w:pPr>
        <w:pStyle w:val="Normal"/>
        <w:numPr>
          <w:ilvl w:val="2"/>
          <w:numId w:val="7"/>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Uso di altra lingua diversa da Inglese o altra lingua parlata nei Paesi partner di progetto di cui all’art. 4, comma 4 (esclusa la lingua italiana), utilizzata per una percentuale superiore al 10% del monte ore del piano di studi settimanale - fino a 5 punti.</w:t>
      </w:r>
    </w:p>
    <w:p>
      <w:pPr>
        <w:pStyle w:val="Normal"/>
        <w:spacing w:lineRule="auto" w:line="240" w:before="0" w:after="0"/>
        <w:ind w:left="1491" w:right="0" w:hanging="0"/>
        <w:jc w:val="both"/>
        <w:rPr>
          <w:rFonts w:cs="DecimaWE Rg" w:ascii="DecimaWE Rg" w:hAnsi="DecimaWE Rg"/>
          <w:sz w:val="24"/>
          <w:szCs w:val="24"/>
        </w:rPr>
      </w:pPr>
      <w:r>
        <w:rPr>
          <w:rFonts w:cs="DecimaWE Rg" w:ascii="DecimaWE Rg" w:hAnsi="DecimaWE Rg"/>
          <w:sz w:val="24"/>
          <w:szCs w:val="24"/>
        </w:rPr>
      </w:r>
    </w:p>
    <w:p>
      <w:pPr>
        <w:pStyle w:val="Normal"/>
        <w:numPr>
          <w:ilvl w:val="1"/>
          <w:numId w:val="7"/>
        </w:numPr>
        <w:spacing w:lineRule="auto" w:line="240" w:before="0" w:after="0"/>
        <w:ind w:left="924" w:right="0" w:hanging="360"/>
        <w:jc w:val="both"/>
        <w:rPr>
          <w:rFonts w:cs="DecimaWE Rg" w:ascii="DecimaWE Rg" w:hAnsi="DecimaWE Rg"/>
          <w:sz w:val="24"/>
          <w:szCs w:val="24"/>
        </w:rPr>
      </w:pPr>
      <w:r>
        <w:rPr>
          <w:rFonts w:cs="DecimaWE Rg" w:ascii="DecimaWE Rg" w:hAnsi="DecimaWE Rg"/>
          <w:sz w:val="24"/>
          <w:szCs w:val="24"/>
        </w:rPr>
        <w:t xml:space="preserve">Presenza di convitto o di altra struttura convenzionata o convenzionabile con l’istituto scolastico ospitante o disponibilità all'ospitalità da parte di famiglie di studenti dello stesso istituto da destinare agli studenti della mobilità in entrata, fino ad un massimo di </w:t>
      </w:r>
      <w:r>
        <w:rPr>
          <w:rFonts w:cs="DecimaWE Rg" w:ascii="DecimaWE Rg" w:hAnsi="DecimaWE Rg"/>
          <w:b/>
          <w:bCs/>
          <w:sz w:val="24"/>
          <w:szCs w:val="24"/>
        </w:rPr>
        <w:t>punti 10</w:t>
      </w:r>
      <w:r>
        <w:rPr>
          <w:rFonts w:cs="DecimaWE Rg" w:ascii="DecimaWE Rg" w:hAnsi="DecimaWE Rg"/>
          <w:sz w:val="24"/>
          <w:szCs w:val="24"/>
        </w:rPr>
        <w:t>, così indicati:2</w:t>
      </w:r>
    </w:p>
    <w:p>
      <w:pPr>
        <w:pStyle w:val="Normal"/>
        <w:numPr>
          <w:ilvl w:val="2"/>
          <w:numId w:val="7"/>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Presenza di convitto annesso all’istituto scolastico – fino a 10 punti</w:t>
      </w:r>
    </w:p>
    <w:p>
      <w:pPr>
        <w:pStyle w:val="Normal"/>
        <w:numPr>
          <w:ilvl w:val="2"/>
          <w:numId w:val="7"/>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Presenza di struttura convenzionata con l’istituto scolastico o chiara indicazione nella domanda della possibilità di organizzare l’ospitalità presso famiglie di studenti dello stesso istituto – fino a 8 punti</w:t>
      </w:r>
    </w:p>
    <w:p>
      <w:pPr>
        <w:pStyle w:val="Normal"/>
        <w:spacing w:lineRule="auto" w:line="240" w:before="0" w:after="0"/>
        <w:ind w:left="2340" w:right="0" w:hanging="0"/>
        <w:jc w:val="both"/>
        <w:rPr>
          <w:rFonts w:cs="DecimaWE Rg" w:ascii="DecimaWE Rg" w:hAnsi="DecimaWE Rg"/>
          <w:sz w:val="24"/>
          <w:szCs w:val="24"/>
        </w:rPr>
      </w:pPr>
      <w:r>
        <w:rPr>
          <w:rFonts w:cs="DecimaWE Rg" w:ascii="DecimaWE Rg" w:hAnsi="DecimaWE Rg"/>
          <w:sz w:val="24"/>
          <w:szCs w:val="24"/>
        </w:rPr>
      </w:r>
    </w:p>
    <w:p>
      <w:pPr>
        <w:pStyle w:val="Normal"/>
        <w:numPr>
          <w:ilvl w:val="1"/>
          <w:numId w:val="7"/>
        </w:numPr>
        <w:spacing w:lineRule="auto" w:line="240" w:before="0" w:after="0"/>
        <w:ind w:left="924" w:right="0" w:hanging="360"/>
        <w:jc w:val="both"/>
        <w:rPr>
          <w:rFonts w:cs="DecimaWE Rg" w:ascii="DecimaWE Rg" w:hAnsi="DecimaWE Rg"/>
          <w:sz w:val="24"/>
          <w:szCs w:val="24"/>
        </w:rPr>
      </w:pPr>
      <w:r>
        <w:rPr>
          <w:rFonts w:cs="DecimaWE Rg" w:ascii="DecimaWE Rg" w:hAnsi="DecimaWE Rg"/>
          <w:sz w:val="24"/>
          <w:szCs w:val="24"/>
        </w:rPr>
        <w:t xml:space="preserve">Presenza di servizio mensa o pasto caldo nell’istituto scolastico oppure in struttura convenzionata o convenzionabile con l’istituto scolastico ospitante fino ad un massimo di </w:t>
      </w:r>
      <w:r>
        <w:rPr>
          <w:rFonts w:cs="DecimaWE Rg" w:ascii="DecimaWE Rg" w:hAnsi="DecimaWE Rg"/>
          <w:b/>
          <w:bCs/>
          <w:sz w:val="24"/>
          <w:szCs w:val="24"/>
        </w:rPr>
        <w:t>punti 10</w:t>
      </w:r>
      <w:r>
        <w:rPr>
          <w:rFonts w:cs="DecimaWE Rg" w:ascii="DecimaWE Rg" w:hAnsi="DecimaWE Rg"/>
          <w:sz w:val="24"/>
          <w:szCs w:val="24"/>
        </w:rPr>
        <w:t>, così indicati:</w:t>
      </w:r>
    </w:p>
    <w:p>
      <w:pPr>
        <w:pStyle w:val="Normal"/>
        <w:numPr>
          <w:ilvl w:val="2"/>
          <w:numId w:val="7"/>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Presenza di servizio mensa nell’istituto scolastico – fino a 10 punti</w:t>
      </w:r>
    </w:p>
    <w:p>
      <w:pPr>
        <w:pStyle w:val="Normal"/>
        <w:numPr>
          <w:ilvl w:val="2"/>
          <w:numId w:val="7"/>
        </w:numPr>
        <w:spacing w:lineRule="auto" w:line="240" w:before="0" w:after="0"/>
        <w:ind w:left="1491" w:right="0" w:hanging="360"/>
        <w:jc w:val="both"/>
        <w:rPr>
          <w:rFonts w:cs="DecimaWE Rg" w:ascii="DecimaWE Rg" w:hAnsi="DecimaWE Rg"/>
          <w:sz w:val="24"/>
          <w:szCs w:val="24"/>
        </w:rPr>
      </w:pPr>
      <w:r>
        <w:rPr>
          <w:rFonts w:cs="DecimaWE Rg" w:ascii="DecimaWE Rg" w:hAnsi="DecimaWE Rg"/>
          <w:sz w:val="24"/>
          <w:szCs w:val="24"/>
        </w:rPr>
        <w:t>Presenza di struttura interna all’istituto scolastico con possibile fornitura di pasti o chiara indicazione nella domanda della possibilità di organizzare presso una struttura esterna all’istituto scolastico un servizio di ristorazione per gli studenti in mobilità in entrata – fino a 8 punti</w:t>
      </w:r>
    </w:p>
    <w:p>
      <w:pPr>
        <w:pStyle w:val="Normal"/>
        <w:spacing w:lineRule="auto" w:line="240" w:before="0" w:after="0"/>
        <w:ind w:left="2340" w:right="0" w:hanging="0"/>
        <w:jc w:val="both"/>
        <w:rPr>
          <w:rFonts w:cs="DecimaWE Rg" w:ascii="DecimaWE Rg" w:hAnsi="DecimaWE Rg"/>
          <w:sz w:val="24"/>
          <w:szCs w:val="24"/>
        </w:rPr>
      </w:pPr>
      <w:r>
        <w:rPr>
          <w:rFonts w:cs="DecimaWE Rg" w:ascii="DecimaWE Rg" w:hAnsi="DecimaWE Rg"/>
          <w:sz w:val="24"/>
          <w:szCs w:val="24"/>
        </w:rPr>
      </w:r>
    </w:p>
    <w:p>
      <w:pPr>
        <w:pStyle w:val="Normal"/>
        <w:numPr>
          <w:ilvl w:val="1"/>
          <w:numId w:val="7"/>
        </w:numPr>
        <w:spacing w:lineRule="auto" w:line="240" w:before="0" w:after="0"/>
        <w:ind w:left="924" w:right="0" w:hanging="360"/>
        <w:jc w:val="both"/>
        <w:rPr>
          <w:rFonts w:cs="DecimaWE Rg" w:ascii="DecimaWE Rg" w:hAnsi="DecimaWE Rg"/>
          <w:b/>
          <w:bCs/>
          <w:sz w:val="24"/>
          <w:szCs w:val="24"/>
        </w:rPr>
      </w:pPr>
      <w:r>
        <w:rPr>
          <w:rFonts w:cs="DecimaWE Rg" w:ascii="DecimaWE Rg" w:hAnsi="DecimaWE Rg"/>
          <w:sz w:val="24"/>
          <w:szCs w:val="24"/>
        </w:rPr>
        <w:t xml:space="preserve">Offerta di laboratori e attrezzature specifiche aggiuntive inerenti il settore della nautica e marittimo – </w:t>
      </w:r>
      <w:r>
        <w:rPr>
          <w:rFonts w:cs="DecimaWE Rg" w:ascii="DecimaWE Rg" w:hAnsi="DecimaWE Rg"/>
          <w:b/>
          <w:bCs/>
          <w:sz w:val="24"/>
          <w:szCs w:val="24"/>
        </w:rPr>
        <w:t>10 punti</w:t>
      </w:r>
    </w:p>
    <w:p>
      <w:pPr>
        <w:pStyle w:val="Normal"/>
        <w:spacing w:lineRule="auto" w:line="240" w:before="0" w:after="0"/>
        <w:ind w:left="924" w:right="0" w:hanging="0"/>
        <w:jc w:val="both"/>
        <w:rPr>
          <w:rFonts w:cs="DecimaWE Rg" w:ascii="DecimaWE Rg" w:hAnsi="DecimaWE Rg"/>
          <w:b/>
          <w:bCs/>
          <w:sz w:val="24"/>
          <w:szCs w:val="24"/>
        </w:rPr>
      </w:pPr>
      <w:r>
        <w:rPr>
          <w:rFonts w:cs="DecimaWE Rg" w:ascii="DecimaWE Rg" w:hAnsi="DecimaWE Rg"/>
          <w:b/>
          <w:bCs/>
          <w:sz w:val="24"/>
          <w:szCs w:val="24"/>
        </w:rPr>
      </w:r>
    </w:p>
    <w:p>
      <w:pPr>
        <w:pStyle w:val="Normal"/>
        <w:numPr>
          <w:ilvl w:val="1"/>
          <w:numId w:val="7"/>
        </w:numPr>
        <w:spacing w:lineRule="auto" w:line="240" w:before="0" w:after="0"/>
        <w:ind w:left="924" w:right="0" w:hanging="360"/>
        <w:jc w:val="both"/>
        <w:rPr>
          <w:rFonts w:cs="DecimaWE Rg" w:ascii="DecimaWE Rg" w:hAnsi="DecimaWE Rg"/>
          <w:b/>
          <w:bCs/>
          <w:sz w:val="24"/>
          <w:szCs w:val="24"/>
        </w:rPr>
      </w:pPr>
      <w:r>
        <w:rPr>
          <w:rFonts w:cs="DecimaWE Rg" w:ascii="DecimaWE Rg" w:hAnsi="DecimaWE Rg"/>
          <w:sz w:val="24"/>
          <w:szCs w:val="24"/>
        </w:rPr>
        <w:t xml:space="preserve">Scuole che sono già state coinvolte in progetti similari al BLUE KEP quali il BLUE SKILLS – </w:t>
      </w:r>
      <w:r>
        <w:rPr>
          <w:rFonts w:cs="DecimaWE Rg" w:ascii="DecimaWE Rg" w:hAnsi="DecimaWE Rg"/>
          <w:b/>
          <w:bCs/>
          <w:sz w:val="24"/>
          <w:szCs w:val="24"/>
        </w:rPr>
        <w:t>5 punti</w:t>
      </w:r>
    </w:p>
    <w:p>
      <w:pPr>
        <w:pStyle w:val="ListParagraph"/>
        <w:rPr>
          <w:rFonts w:cs="DecimaWE Rg" w:ascii="DecimaWE Rg" w:hAnsi="DecimaWE Rg"/>
          <w:b/>
          <w:bCs/>
          <w:sz w:val="24"/>
          <w:szCs w:val="24"/>
        </w:rPr>
      </w:pPr>
      <w:r>
        <w:rPr>
          <w:rFonts w:cs="DecimaWE Rg" w:ascii="DecimaWE Rg" w:hAnsi="DecimaWE Rg"/>
          <w:b/>
          <w:bCs/>
          <w:sz w:val="24"/>
          <w:szCs w:val="24"/>
        </w:rPr>
      </w:r>
    </w:p>
    <w:p>
      <w:pPr>
        <w:pStyle w:val="Normal"/>
        <w:spacing w:lineRule="auto" w:line="240" w:before="0" w:after="0"/>
        <w:ind w:left="924" w:right="0" w:hanging="0"/>
        <w:jc w:val="both"/>
        <w:rPr>
          <w:rFonts w:cs="DecimaWE Rg" w:ascii="DecimaWE Rg" w:hAnsi="DecimaWE Rg"/>
          <w:b/>
          <w:bCs/>
          <w:sz w:val="24"/>
          <w:szCs w:val="24"/>
        </w:rPr>
      </w:pPr>
      <w:r>
        <w:rPr>
          <w:rFonts w:cs="DecimaWE Rg" w:ascii="DecimaWE Rg" w:hAnsi="DecimaWE Rg"/>
          <w:b/>
          <w:bCs/>
          <w:sz w:val="24"/>
          <w:szCs w:val="24"/>
        </w:rPr>
      </w:r>
    </w:p>
    <w:p>
      <w:pPr>
        <w:pStyle w:val="Normal"/>
        <w:spacing w:lineRule="auto" w:line="240" w:before="0" w:after="0"/>
        <w:ind w:left="454" w:right="0" w:hanging="340"/>
        <w:jc w:val="both"/>
        <w:rPr>
          <w:rFonts w:cs="DecimaWE Rg" w:ascii="DecimaWE Rg" w:hAnsi="DecimaWE Rg"/>
          <w:sz w:val="24"/>
          <w:szCs w:val="24"/>
        </w:rPr>
      </w:pPr>
      <w:r>
        <w:rPr>
          <w:rFonts w:cs="DecimaWE Rg" w:ascii="DecimaWE Rg" w:hAnsi="DecimaWE Rg"/>
          <w:sz w:val="24"/>
          <w:szCs w:val="24"/>
        </w:rPr>
        <w:t>2.</w:t>
        <w:tab/>
        <w:t>In caso di domande a parità di punteggio, l’ordine di graduatoria è determinato dall’applicazione successiva dei seguenti criteri di priorità:</w:t>
      </w:r>
    </w:p>
    <w:p>
      <w:pPr>
        <w:pStyle w:val="Normal"/>
        <w:numPr>
          <w:ilvl w:val="0"/>
          <w:numId w:val="11"/>
        </w:numPr>
        <w:spacing w:lineRule="auto" w:line="240" w:before="0" w:after="0"/>
        <w:jc w:val="both"/>
        <w:rPr>
          <w:rFonts w:cs="DecimaWE Rg" w:ascii="DecimaWE Rg" w:hAnsi="DecimaWE Rg"/>
          <w:sz w:val="24"/>
          <w:szCs w:val="24"/>
        </w:rPr>
      </w:pPr>
      <w:r>
        <w:rPr>
          <w:rFonts w:cs="DecimaWE Rg" w:ascii="DecimaWE Rg" w:hAnsi="DecimaWE Rg"/>
          <w:sz w:val="24"/>
          <w:szCs w:val="24"/>
        </w:rPr>
        <w:t>Domande che hanno ottenuto un punteggio maggiore nell’ambito del criterio di cui al comma 1 lettera e)</w:t>
      </w:r>
    </w:p>
    <w:p>
      <w:pPr>
        <w:pStyle w:val="Normal"/>
        <w:numPr>
          <w:ilvl w:val="0"/>
          <w:numId w:val="11"/>
        </w:numPr>
        <w:spacing w:lineRule="auto" w:line="240" w:before="0" w:after="0"/>
        <w:jc w:val="both"/>
        <w:rPr>
          <w:rFonts w:cs="DecimaWE Rg" w:ascii="DecimaWE Rg" w:hAnsi="DecimaWE Rg"/>
          <w:sz w:val="24"/>
          <w:szCs w:val="24"/>
        </w:rPr>
      </w:pPr>
      <w:r>
        <w:rPr>
          <w:rFonts w:cs="DecimaWE Rg" w:ascii="DecimaWE Rg" w:hAnsi="DecimaWE Rg"/>
          <w:sz w:val="24"/>
          <w:szCs w:val="24"/>
        </w:rPr>
        <w:t>Domande che hanno ottenuto un punteggio maggiore nell’ambito del criterio di cui al comma 1 lettera f)</w:t>
      </w:r>
    </w:p>
    <w:p>
      <w:pPr>
        <w:pStyle w:val="Normal"/>
        <w:numPr>
          <w:ilvl w:val="0"/>
          <w:numId w:val="11"/>
        </w:numPr>
        <w:spacing w:lineRule="auto" w:line="240" w:before="0" w:after="0"/>
        <w:jc w:val="both"/>
        <w:rPr>
          <w:rFonts w:cs="DecimaWE Rg" w:ascii="DecimaWE Rg" w:hAnsi="DecimaWE Rg"/>
          <w:sz w:val="24"/>
          <w:szCs w:val="24"/>
        </w:rPr>
      </w:pPr>
      <w:r>
        <w:rPr>
          <w:rFonts w:cs="DecimaWE Rg" w:ascii="DecimaWE Rg" w:hAnsi="DecimaWE Rg"/>
          <w:sz w:val="24"/>
          <w:szCs w:val="24"/>
        </w:rPr>
        <w:t>Sorteggio pubblico.</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8 – Approvazione della graduatoria e specificazione dei criteri di selezione</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numPr>
          <w:ilvl w:val="0"/>
          <w:numId w:val="4"/>
        </w:numPr>
        <w:spacing w:lineRule="auto" w:line="240" w:before="0" w:after="0"/>
        <w:jc w:val="both"/>
        <w:rPr>
          <w:rFonts w:cs="DecimaWE Rg" w:ascii="DecimaWE Rg" w:hAnsi="DecimaWE Rg"/>
          <w:sz w:val="24"/>
          <w:szCs w:val="24"/>
        </w:rPr>
      </w:pPr>
      <w:r>
        <w:rPr>
          <w:rFonts w:cs="DecimaWE Rg" w:ascii="DecimaWE Rg" w:hAnsi="DecimaWE Rg"/>
          <w:sz w:val="24"/>
          <w:szCs w:val="24"/>
        </w:rPr>
        <w:t xml:space="preserve">A conclusione dell’istruttoria da parte della Commissione, </w:t>
      </w:r>
      <w:r>
        <w:rPr>
          <w:rFonts w:cs="DecimaWE Rg" w:ascii="DecimaWE Rg" w:hAnsi="DecimaWE Rg"/>
          <w:sz w:val="24"/>
          <w:szCs w:val="24"/>
          <w:lang w:eastAsia="it-IT"/>
        </w:rPr>
        <w:t>istituita con decreto del Dirigente P.F. Istruzione, Formazione, Orientamento e servizi territoriali per la formazione e servizi per il mercato del lavoro (centri per l'impiego</w:t>
      </w:r>
      <w:r>
        <w:rPr>
          <w:rFonts w:cs="DecimaWE Rg" w:ascii="DecimaWE Rg" w:hAnsi="DecimaWE Rg"/>
          <w:sz w:val="24"/>
          <w:szCs w:val="24"/>
        </w:rPr>
        <w:t>), il Dirigente della struttura competente approva la graduatoria secondo l’ordine decrescente di punteggio degli istituti scolastici idonei all’accreditamento.</w:t>
      </w:r>
    </w:p>
    <w:p>
      <w:pPr>
        <w:pStyle w:val="Normal"/>
        <w:numPr>
          <w:ilvl w:val="0"/>
          <w:numId w:val="4"/>
        </w:numPr>
        <w:spacing w:lineRule="auto" w:line="240" w:before="0" w:after="0"/>
        <w:ind w:left="714" w:right="0" w:hanging="360"/>
        <w:jc w:val="both"/>
        <w:rPr>
          <w:rFonts w:cs="DecimaWE Rg" w:ascii="DecimaWE Rg" w:hAnsi="DecimaWE Rg"/>
          <w:sz w:val="24"/>
          <w:szCs w:val="24"/>
        </w:rPr>
      </w:pPr>
      <w:r>
        <w:rPr>
          <w:rFonts w:cs="DecimaWE Rg" w:ascii="DecimaWE Rg" w:hAnsi="DecimaWE Rg"/>
          <w:sz w:val="24"/>
          <w:szCs w:val="24"/>
        </w:rPr>
        <w:t>All’individuazione degli istituti scolastici da destinare al processo di accreditamento, di cui al presente Avviso, si procederà sulla base della graduatoria di cui al comma 1.</w:t>
      </w:r>
    </w:p>
    <w:p>
      <w:pPr>
        <w:pStyle w:val="Normal"/>
        <w:numPr>
          <w:ilvl w:val="0"/>
          <w:numId w:val="4"/>
        </w:numPr>
        <w:spacing w:lineRule="auto" w:line="240" w:before="0" w:after="0"/>
        <w:jc w:val="both"/>
        <w:rPr>
          <w:rFonts w:cs="DecimaWE Rg" w:ascii="DecimaWE Rg" w:hAnsi="DecimaWE Rg"/>
          <w:sz w:val="24"/>
          <w:szCs w:val="24"/>
        </w:rPr>
      </w:pPr>
      <w:r>
        <w:rPr>
          <w:rFonts w:cs="DecimaWE Rg" w:ascii="DecimaWE Rg" w:hAnsi="DecimaWE Rg"/>
          <w:sz w:val="24"/>
          <w:szCs w:val="24"/>
        </w:rPr>
        <w:t xml:space="preserve">La struttura competente si riserva di scorrere la graduatoria di cui al comma 1, in base alla necessità di abbinamento tra istituti scolastici dei diversi Paesi partner </w:t>
      </w:r>
      <w:r>
        <w:rPr>
          <w:rFonts w:cs="DecimaWE Rg" w:ascii="DecimaWE Rg" w:hAnsi="DecimaWE Rg"/>
          <w:i/>
          <w:sz w:val="24"/>
          <w:szCs w:val="24"/>
        </w:rPr>
        <w:t>in analogia con gli Istituti scolastici partecipanti al presente Avviso Pubblico</w:t>
      </w:r>
      <w:r>
        <w:rPr>
          <w:rFonts w:cs="DecimaWE Rg" w:ascii="DecimaWE Rg" w:hAnsi="DecimaWE Rg"/>
          <w:sz w:val="24"/>
          <w:szCs w:val="24"/>
        </w:rPr>
        <w:t>, secondo omogenei indirizzi di studio.</w:t>
      </w:r>
    </w:p>
    <w:p>
      <w:pPr>
        <w:pStyle w:val="Normal"/>
        <w:numPr>
          <w:ilvl w:val="0"/>
          <w:numId w:val="4"/>
        </w:numPr>
        <w:spacing w:lineRule="auto" w:line="240" w:before="0" w:after="0"/>
        <w:jc w:val="both"/>
        <w:rPr>
          <w:rFonts w:cs="DecimaWE Rg" w:ascii="DecimaWE Rg" w:hAnsi="DecimaWE Rg"/>
          <w:sz w:val="24"/>
          <w:szCs w:val="24"/>
        </w:rPr>
      </w:pPr>
      <w:r>
        <w:rPr>
          <w:rFonts w:cs="DecimaWE Rg" w:ascii="DecimaWE Rg" w:hAnsi="DecimaWE Rg"/>
          <w:sz w:val="24"/>
          <w:szCs w:val="24"/>
        </w:rPr>
        <w:t>La struttura competente della Regione Marche si riserva di scorrere la graduatoria nel caso di decadenza di un soggetto selezionato, a causa di successiva rinuncia da parte del soggetto medesimo oppure per mancata ottemperanza degli impegni di cui all’art. 7 lettere b), c) e d).</w:t>
      </w:r>
    </w:p>
    <w:p>
      <w:pPr>
        <w:pStyle w:val="Normal"/>
        <w:spacing w:lineRule="auto" w:line="240" w:before="0" w:after="0"/>
        <w:ind w:left="720" w:right="0" w:hanging="0"/>
        <w:jc w:val="both"/>
        <w:rPr>
          <w:rFonts w:cs="DecimaWE Rg" w:ascii="DecimaWE Rg" w:hAnsi="DecimaWE Rg"/>
          <w:sz w:val="24"/>
          <w:szCs w:val="24"/>
        </w:rPr>
      </w:pPr>
      <w:r>
        <w:rPr>
          <w:rFonts w:cs="DecimaWE Rg" w:ascii="DecimaWE Rg" w:hAnsi="DecimaWE Rg"/>
          <w:sz w:val="24"/>
          <w:szCs w:val="24"/>
        </w:rPr>
      </w:r>
    </w:p>
    <w:p>
      <w:pPr>
        <w:pStyle w:val="Normal"/>
        <w:spacing w:lineRule="auto" w:line="240" w:before="0" w:after="0"/>
        <w:ind w:left="720" w:right="0" w:hanging="0"/>
        <w:jc w:val="both"/>
        <w:rPr>
          <w:rFonts w:cs="DecimaWE Rg" w:ascii="DecimaWE Rg" w:hAnsi="DecimaWE Rg"/>
          <w:sz w:val="24"/>
          <w:szCs w:val="24"/>
        </w:rPr>
      </w:pPr>
      <w:r>
        <w:rPr>
          <w:rFonts w:cs="DecimaWE Rg" w:ascii="DecimaWE Rg" w:hAnsi="DecimaWE Rg"/>
          <w:sz w:val="24"/>
          <w:szCs w:val="24"/>
        </w:rPr>
      </w:r>
    </w:p>
    <w:p>
      <w:pPr>
        <w:pStyle w:val="Normal"/>
        <w:spacing w:lineRule="auto" w:line="240" w:before="0" w:after="0"/>
        <w:jc w:val="both"/>
        <w:rPr>
          <w:rFonts w:cs="DecimaWE Rg" w:ascii="DecimaWE Rg" w:hAnsi="DecimaWE Rg"/>
          <w:sz w:val="24"/>
          <w:szCs w:val="24"/>
          <w:lang w:eastAsia="it-IT"/>
        </w:rPr>
      </w:pPr>
      <w:r>
        <w:rPr>
          <w:rFonts w:cs="DecimaWE Rg" w:ascii="DecimaWE Rg" w:hAnsi="DecimaWE Rg"/>
          <w:sz w:val="24"/>
          <w:szCs w:val="24"/>
          <w:lang w:eastAsia="it-IT"/>
        </w:rPr>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t>Articolo 9 - Modalità di presentazione della domanda e cause di esclusione</w:t>
      </w:r>
    </w:p>
    <w:p>
      <w:pPr>
        <w:pStyle w:val="Normal"/>
        <w:spacing w:lineRule="auto" w:line="240" w:before="0" w:after="0"/>
        <w:jc w:val="center"/>
        <w:rPr>
          <w:rFonts w:cs="DecimaWE Rg" w:ascii="DecimaWE Rg" w:hAnsi="DecimaWE Rg"/>
          <w:b/>
          <w:bCs/>
          <w:sz w:val="24"/>
          <w:szCs w:val="24"/>
          <w:lang w:eastAsia="it-IT"/>
        </w:rPr>
      </w:pPr>
      <w:r>
        <w:rPr>
          <w:rFonts w:cs="DecimaWE Rg" w:ascii="DecimaWE Rg" w:hAnsi="DecimaWE Rg"/>
          <w:b/>
          <w:bCs/>
          <w:sz w:val="24"/>
          <w:szCs w:val="24"/>
          <w:lang w:eastAsia="it-IT"/>
        </w:rPr>
      </w:r>
    </w:p>
    <w:p>
      <w:pPr>
        <w:pStyle w:val="Normal"/>
        <w:numPr>
          <w:ilvl w:val="0"/>
          <w:numId w:val="3"/>
        </w:numPr>
        <w:spacing w:lineRule="auto" w:line="240" w:before="0" w:after="0"/>
        <w:jc w:val="both"/>
        <w:rPr>
          <w:rFonts w:cs="DecimaWE Rg" w:ascii="DecimaWE Rg" w:hAnsi="DecimaWE Rg"/>
          <w:sz w:val="24"/>
          <w:szCs w:val="24"/>
        </w:rPr>
      </w:pPr>
      <w:r>
        <w:rPr>
          <w:rFonts w:cs="DecimaWE Rg" w:ascii="DecimaWE Rg" w:hAnsi="DecimaWE Rg"/>
          <w:sz w:val="24"/>
          <w:szCs w:val="24"/>
        </w:rPr>
        <w:t xml:space="preserve">La domanda di accreditamento va compilata sull’apposito modello allegato al presente avviso (allegato “B”). </w:t>
      </w:r>
    </w:p>
    <w:p>
      <w:pPr>
        <w:pStyle w:val="Normal"/>
        <w:numPr>
          <w:ilvl w:val="0"/>
          <w:numId w:val="3"/>
        </w:numPr>
        <w:spacing w:lineRule="auto" w:line="240" w:before="0" w:after="0"/>
        <w:jc w:val="both"/>
        <w:rPr>
          <w:rFonts w:cs="DecimaWE Rg" w:ascii="DecimaWE Rg" w:hAnsi="DecimaWE Rg"/>
          <w:sz w:val="24"/>
          <w:szCs w:val="24"/>
        </w:rPr>
      </w:pPr>
      <w:r>
        <w:rPr>
          <w:rFonts w:cs="DecimaWE Rg" w:ascii="DecimaWE Rg" w:hAnsi="DecimaWE Rg"/>
          <w:sz w:val="24"/>
          <w:szCs w:val="24"/>
        </w:rPr>
        <w:t>La domanda di accreditamento, sottoscritta dal Legale Rappresentante dell’istituto scolastico o da un suo delegato deve essere spedita con una delle seguenti modalità:</w:t>
      </w:r>
    </w:p>
    <w:p>
      <w:pPr>
        <w:pStyle w:val="Normal"/>
        <w:numPr>
          <w:ilvl w:val="0"/>
          <w:numId w:val="5"/>
        </w:numPr>
        <w:spacing w:lineRule="auto" w:line="240" w:before="0" w:after="0"/>
        <w:jc w:val="both"/>
        <w:rPr>
          <w:rFonts w:cs="DecimaWE Rg" w:ascii="DecimaWE Rg" w:hAnsi="DecimaWE Rg"/>
          <w:sz w:val="24"/>
          <w:szCs w:val="24"/>
        </w:rPr>
      </w:pPr>
      <w:r>
        <w:rPr>
          <w:rFonts w:cs="DecimaWE Rg" w:ascii="DecimaWE Rg" w:hAnsi="DecimaWE Rg"/>
          <w:sz w:val="24"/>
          <w:szCs w:val="24"/>
        </w:rPr>
        <w:t>a mezzo Raccomandata A/R alla P.F. Istruzione, Formazione, Orientamento e servizi territoriali per la formazione e servizi per il mercato del lavoro (Centri per l’Impiego) della Regione Marche – Via Tiziano, 44 Ancona, in busta chiusa con scritto sulla parte esterna “domanda di accreditamento BLUE KEP</w:t>
      </w:r>
      <w:r>
        <w:rPr>
          <w:rFonts w:cs="DecimaWE Rg" w:ascii="DecimaWE Rg" w:hAnsi="DecimaWE Rg"/>
          <w:b/>
          <w:bCs/>
          <w:sz w:val="24"/>
          <w:szCs w:val="24"/>
        </w:rPr>
        <w:t>” entro il 7 Maggio 2018</w:t>
      </w:r>
      <w:r>
        <w:rPr>
          <w:rFonts w:cs="DecimaWE Rg" w:ascii="DecimaWE Rg" w:hAnsi="DecimaWE Rg"/>
          <w:sz w:val="24"/>
          <w:szCs w:val="24"/>
        </w:rPr>
        <w:t>;</w:t>
      </w:r>
    </w:p>
    <w:p>
      <w:pPr>
        <w:pStyle w:val="Normal"/>
        <w:numPr>
          <w:ilvl w:val="0"/>
          <w:numId w:val="5"/>
        </w:numPr>
        <w:spacing w:lineRule="auto" w:line="240" w:before="0" w:after="0"/>
        <w:jc w:val="both"/>
        <w:rPr>
          <w:rFonts w:cs="DecimaWE Rg" w:ascii="DecimaWE Rg" w:hAnsi="DecimaWE Rg"/>
          <w:b/>
          <w:sz w:val="24"/>
          <w:szCs w:val="24"/>
        </w:rPr>
      </w:pPr>
      <w:r>
        <w:rPr>
          <w:rFonts w:cs="DecimaWE Rg" w:ascii="DecimaWE Rg" w:hAnsi="DecimaWE Rg"/>
          <w:sz w:val="24"/>
          <w:szCs w:val="24"/>
        </w:rPr>
        <w:t>a mano all’Ufficio Protocollo della P.F.</w:t>
      </w:r>
      <w:r>
        <w:rPr/>
        <w:t xml:space="preserve"> </w:t>
      </w:r>
      <w:r>
        <w:rPr>
          <w:rFonts w:cs="DecimaWE Rg" w:ascii="DecimaWE Rg" w:hAnsi="DecimaWE Rg"/>
          <w:sz w:val="24"/>
          <w:szCs w:val="24"/>
        </w:rPr>
        <w:t xml:space="preserve">Istruzione, Formazione, Orientamento e servizi territoriali per la formazione e servizi per il mercato del lavoro (Centri per l’Impiego) della Regione Marche, Via Tiziano, 44 Ancona entro le ore 12 del </w:t>
      </w:r>
      <w:r>
        <w:rPr>
          <w:rFonts w:cs="DecimaWE Rg" w:ascii="DecimaWE Rg" w:hAnsi="DecimaWE Rg"/>
          <w:b/>
          <w:sz w:val="24"/>
          <w:szCs w:val="24"/>
        </w:rPr>
        <w:t xml:space="preserve">7 Maggio </w:t>
      </w:r>
      <w:r>
        <w:rPr>
          <w:rFonts w:cs="DecimaWE Rg" w:ascii="DecimaWE Rg" w:hAnsi="DecimaWE Rg"/>
          <w:b/>
          <w:bCs/>
          <w:sz w:val="24"/>
          <w:szCs w:val="24"/>
        </w:rPr>
        <w:t>2018</w:t>
      </w:r>
      <w:r>
        <w:rPr>
          <w:rFonts w:cs="DecimaWE Rg" w:ascii="DecimaWE Rg" w:hAnsi="DecimaWE Rg"/>
          <w:b/>
          <w:sz w:val="24"/>
          <w:szCs w:val="24"/>
        </w:rPr>
        <w:t>;</w:t>
      </w:r>
    </w:p>
    <w:p>
      <w:pPr>
        <w:pStyle w:val="Normal"/>
        <w:numPr>
          <w:ilvl w:val="0"/>
          <w:numId w:val="5"/>
        </w:numPr>
        <w:spacing w:lineRule="auto" w:line="240" w:before="0" w:after="0"/>
        <w:jc w:val="both"/>
        <w:rPr>
          <w:rFonts w:cs="DecimaWE Rg" w:ascii="DecimaWE Rg" w:hAnsi="DecimaWE Rg"/>
          <w:b/>
          <w:bCs/>
          <w:sz w:val="24"/>
          <w:szCs w:val="24"/>
        </w:rPr>
      </w:pPr>
      <w:r>
        <w:rPr>
          <w:rFonts w:cs="DecimaWE Rg" w:ascii="DecimaWE Rg" w:hAnsi="DecimaWE Rg"/>
          <w:sz w:val="24"/>
          <w:szCs w:val="24"/>
        </w:rPr>
        <w:t xml:space="preserve">a mezzo PEC all’indirizzo </w:t>
      </w:r>
      <w:hyperlink r:id="rId2">
        <w:r>
          <w:rPr>
            <w:rStyle w:val="CollegamentoInternet"/>
            <w:rFonts w:cs="DecimaWE Rg" w:ascii="DecimaWE Rg" w:hAnsi="DecimaWE Rg"/>
            <w:b/>
            <w:bCs/>
            <w:sz w:val="24"/>
            <w:szCs w:val="24"/>
            <w:u w:val="none"/>
          </w:rPr>
          <w:t>regione.marche.pf_istruzione@emarche.it</w:t>
        </w:r>
      </w:hyperlink>
      <w:r>
        <w:rPr>
          <w:rFonts w:cs="DecimaWE Rg" w:ascii="DecimaWE Rg" w:hAnsi="DecimaWE Rg"/>
          <w:sz w:val="24"/>
          <w:szCs w:val="24"/>
        </w:rPr>
        <w:t xml:space="preserve"> entro il </w:t>
      </w:r>
      <w:r>
        <w:rPr>
          <w:rFonts w:cs="DecimaWE Rg" w:ascii="DecimaWE Rg" w:hAnsi="DecimaWE Rg"/>
          <w:b/>
          <w:sz w:val="24"/>
          <w:szCs w:val="24"/>
        </w:rPr>
        <w:t xml:space="preserve">7 Maggio </w:t>
      </w:r>
      <w:r>
        <w:rPr>
          <w:rFonts w:cs="DecimaWE Rg" w:ascii="DecimaWE Rg" w:hAnsi="DecimaWE Rg"/>
          <w:b/>
          <w:bCs/>
          <w:sz w:val="24"/>
          <w:szCs w:val="24"/>
        </w:rPr>
        <w:t>2018.</w:t>
      </w:r>
    </w:p>
    <w:p>
      <w:pPr>
        <w:pStyle w:val="Normal"/>
        <w:numPr>
          <w:ilvl w:val="0"/>
          <w:numId w:val="3"/>
        </w:numPr>
        <w:spacing w:lineRule="auto" w:line="240" w:before="0" w:after="0"/>
        <w:ind w:left="0" w:right="0" w:hanging="360"/>
        <w:jc w:val="both"/>
        <w:rPr>
          <w:rFonts w:cs="DecimaWE Rg" w:ascii="DecimaWE Rg" w:hAnsi="DecimaWE Rg"/>
          <w:sz w:val="24"/>
          <w:szCs w:val="24"/>
        </w:rPr>
      </w:pPr>
      <w:r>
        <w:rPr>
          <w:rFonts w:cs="DecimaWE Rg" w:ascii="DecimaWE Rg" w:hAnsi="DecimaWE Rg"/>
          <w:sz w:val="24"/>
          <w:szCs w:val="24"/>
        </w:rPr>
        <w:t>Costituiscono cause di esclusione della domanda:</w:t>
      </w:r>
    </w:p>
    <w:p>
      <w:pPr>
        <w:pStyle w:val="Normal"/>
        <w:numPr>
          <w:ilvl w:val="0"/>
          <w:numId w:val="2"/>
        </w:numPr>
        <w:spacing w:lineRule="auto" w:line="240" w:before="0" w:after="0"/>
        <w:ind w:left="737" w:right="0" w:hanging="360"/>
        <w:jc w:val="both"/>
        <w:rPr>
          <w:rFonts w:cs="DecimaWE Rg" w:ascii="DecimaWE Rg" w:hAnsi="DecimaWE Rg"/>
          <w:sz w:val="24"/>
          <w:szCs w:val="24"/>
        </w:rPr>
      </w:pPr>
      <w:r>
        <w:rPr>
          <w:rFonts w:cs="DecimaWE Rg" w:ascii="DecimaWE Rg" w:hAnsi="DecimaWE Rg"/>
          <w:sz w:val="24"/>
          <w:szCs w:val="24"/>
        </w:rPr>
        <w:t xml:space="preserve"> </w:t>
      </w:r>
      <w:r>
        <w:rPr>
          <w:rFonts w:cs="DecimaWE Rg" w:ascii="DecimaWE Rg" w:hAnsi="DecimaWE Rg"/>
          <w:sz w:val="24"/>
          <w:szCs w:val="24"/>
        </w:rPr>
        <w:t>La mancata sottoscrizione della stessa da parte del Legale rappresentante o della persona autorizzata a rappresentare l’ente.</w:t>
      </w:r>
    </w:p>
    <w:p>
      <w:pPr>
        <w:pStyle w:val="Normal"/>
        <w:numPr>
          <w:ilvl w:val="0"/>
          <w:numId w:val="2"/>
        </w:numPr>
        <w:spacing w:lineRule="auto" w:line="240" w:before="0" w:after="0"/>
        <w:ind w:left="737" w:right="0" w:hanging="360"/>
        <w:jc w:val="both"/>
        <w:rPr>
          <w:rFonts w:cs="DecimaWE Rg" w:ascii="DecimaWE Rg" w:hAnsi="DecimaWE Rg"/>
          <w:sz w:val="24"/>
          <w:szCs w:val="24"/>
        </w:rPr>
      </w:pPr>
      <w:r>
        <w:rPr>
          <w:rFonts w:cs="DecimaWE Rg" w:ascii="DecimaWE Rg" w:hAnsi="DecimaWE Rg"/>
          <w:sz w:val="24"/>
          <w:szCs w:val="24"/>
        </w:rPr>
        <w:t>La presentazione della domanda oltre i termini stabiliti dal comma 2.</w:t>
      </w:r>
    </w:p>
    <w:p>
      <w:pPr>
        <w:pStyle w:val="Normal"/>
        <w:numPr>
          <w:ilvl w:val="0"/>
          <w:numId w:val="2"/>
        </w:numPr>
        <w:spacing w:lineRule="auto" w:line="240" w:before="0" w:after="0"/>
        <w:ind w:left="737" w:right="0" w:hanging="360"/>
        <w:jc w:val="both"/>
        <w:rPr>
          <w:rFonts w:cs="DecimaWE Rg" w:ascii="DecimaWE Rg" w:hAnsi="DecimaWE Rg"/>
          <w:sz w:val="24"/>
          <w:szCs w:val="24"/>
        </w:rPr>
      </w:pPr>
      <w:r>
        <w:rPr>
          <w:rFonts w:cs="DecimaWE Rg" w:ascii="DecimaWE Rg" w:hAnsi="DecimaWE Rg"/>
          <w:sz w:val="24"/>
          <w:szCs w:val="24"/>
        </w:rPr>
        <w:t>La mancanza anche di uno solo dei requisiti di cui all' Art 6.</w:t>
      </w:r>
    </w:p>
    <w:p>
      <w:pPr>
        <w:pStyle w:val="Normal"/>
        <w:numPr>
          <w:ilvl w:val="0"/>
          <w:numId w:val="2"/>
        </w:numPr>
        <w:spacing w:lineRule="auto" w:line="240" w:before="0" w:after="0"/>
        <w:ind w:left="737" w:right="0" w:hanging="360"/>
        <w:jc w:val="both"/>
        <w:rPr>
          <w:rFonts w:cs="DecimaWE Rg" w:ascii="DecimaWE Rg" w:hAnsi="DecimaWE Rg"/>
          <w:sz w:val="24"/>
          <w:szCs w:val="24"/>
        </w:rPr>
      </w:pPr>
      <w:r>
        <w:rPr>
          <w:rFonts w:cs="DecimaWE Rg" w:ascii="DecimaWE Rg" w:hAnsi="DecimaWE Rg"/>
          <w:sz w:val="24"/>
          <w:szCs w:val="24"/>
        </w:rPr>
        <w:t>Il mancato utilizzo de</w:t>
      </w:r>
      <w:bookmarkStart w:id="2" w:name="_GoBack"/>
      <w:bookmarkEnd w:id="2"/>
      <w:r>
        <w:rPr>
          <w:rFonts w:cs="DecimaWE Rg" w:ascii="DecimaWE Rg" w:hAnsi="DecimaWE Rg"/>
          <w:sz w:val="24"/>
          <w:szCs w:val="24"/>
        </w:rPr>
        <w:t>l modello di domanda previsto, di cui al comma 1.</w:t>
      </w:r>
    </w:p>
    <w:sectPr>
      <w:headerReference w:type="default" r:id="rId3"/>
      <w:footerReference w:type="default" r:id="rId4"/>
      <w:type w:val="nextPage"/>
      <w:pgSz w:w="11906" w:h="16838"/>
      <w:pgMar w:left="993" w:right="1558" w:header="709" w:top="2379" w:footer="0" w:bottom="184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ecimaWE Rg">
    <w:charset w:val="00"/>
    <w:family w:val="roman"/>
    <w:pitch w:val="variable"/>
  </w:font>
  <w:font w:name="Tahoma">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DecimaWE Rg">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cs="Tahoma" w:ascii="Tahoma" w:hAnsi="Tahoma"/>
        <w:b/>
        <w:bCs/>
      </w:rPr>
    </w:pPr>
    <w:r>
      <w:rPr/>
      <w:tab/>
    </w:r>
    <w:r>
      <w:rPr>
        <w:rFonts w:cs="Tahoma" w:ascii="Tahoma" w:hAnsi="Tahoma"/>
      </w:rPr>
      <w:t xml:space="preserve">  </w:t>
    </w:r>
    <w:r>
      <w:rPr>
        <w:rFonts w:cs="Tahoma" w:ascii="Tahoma" w:hAnsi="Tahoma"/>
        <w:b/>
        <w:bCs/>
      </w:rPr>
      <w:t xml:space="preserve">  </w:t>
    </w:r>
    <w:r>
      <w:rPr>
        <w:rFonts w:cs="Tahoma" w:ascii="Tahoma" w:hAnsi="Tahoma"/>
        <w:b/>
        <w:bCs/>
        <w:sz w:val="24"/>
        <w:szCs w:val="24"/>
      </w:rPr>
      <w:t>R</w:t>
    </w:r>
    <w:r>
      <w:rPr>
        <w:rFonts w:cs="Tahoma" w:ascii="Tahoma" w:hAnsi="Tahoma"/>
        <w:b/>
        <w:bCs/>
      </w:rPr>
      <w:t xml:space="preserve">EGIONE </w:t>
    </w:r>
    <w:r>
      <w:rPr>
        <w:rFonts w:cs="Tahoma" w:ascii="Tahoma" w:hAnsi="Tahoma"/>
        <w:b/>
        <w:bCs/>
        <w:sz w:val="24"/>
        <w:szCs w:val="24"/>
      </w:rPr>
      <w:t>M</w:t>
    </w:r>
    <w:r>
      <w:rPr>
        <w:rFonts w:cs="Tahoma" w:ascii="Tahoma" w:hAnsi="Tahoma"/>
        <w:b/>
        <w:bCs/>
      </w:rPr>
      <w:t>ARCHE</w:t>
      <w:tab/>
      <w:tab/>
    </w:r>
    <w:r>
      <w:pict>
        <v:rect fillcolor="#FFFFFF" strokecolor="#000000" strokeweight="0pt" style="position:absolute;width:34.55pt;height:49.25pt;mso-wrap-distance-left:7.05pt;mso-wrap-distance-right:7.05pt;mso-wrap-distance-top:0pt;mso-wrap-distance-bottom:0pt;margin-top:36.05pt;margin-left:57.8pt">
          <v:fill opacity="0f"/>
          <v:textbox inset="0in,0in,0in,0in">
            <w:txbxContent>
              <w:p>
                <w:pPr>
                  <w:pStyle w:val="Contenutocornice"/>
                  <w:spacing w:before="0" w:after="160"/>
                  <w:rPr/>
                </w:pPr>
                <w:r>
                  <w:rPr/>
                  <w:pict>
                    <v:rect id="shape_0" stroked="f" style="position:absolute;margin-left:0pt;margin-top:0pt;width:33.7pt;height:39.7pt">
                      <v:imagedata r:id="rId1" detectmouseclick="t"/>
                      <v:wrap v:type="none"/>
                      <v:stroke color="#3465a4" joinstyle="round" endcap="flat"/>
                    </v:rect>
                  </w:pict>
                </w:r>
              </w:p>
            </w:txbxContent>
          </v:textbox>
          <w10:wrap type="topAndBottom"/>
        </v:rect>
      </w:pict>
    </w:r>
    <w:r>
      <w:pict>
        <v:rect fillcolor="#FFFFFF" strokecolor="#000000" strokeweight="0pt" style="position:absolute;width:46.5pt;height:48pt;mso-wrap-distance-left:9pt;mso-wrap-distance-right:9pt;mso-wrap-distance-top:0pt;mso-wrap-distance-bottom:0pt;margin-top:0.7pt;margin-left:452.25pt">
          <v:textbox>
            <w:txbxContent>
              <w:p>
                <w:pPr>
                  <w:pStyle w:val="Contenutocornice"/>
                  <w:jc w:val="center"/>
                  <w:rPr/>
                </w:pPr>
                <w:r>
                  <w:rPr/>
                  <w:t>Pag.</w:t>
                </w:r>
              </w:p>
              <w:p>
                <w:pPr>
                  <w:pStyle w:val="Contenutocornice"/>
                  <w:jc w:val="center"/>
                  <w:rPr/>
                </w:pPr>
                <w:r>
                  <w:rPr/>
                </w:r>
              </w:p>
              <w:p>
                <w:pPr>
                  <w:pStyle w:val="Contenutocornice"/>
                  <w:spacing w:before="0" w:after="160"/>
                  <w:jc w:val="center"/>
                  <w:rPr/>
                </w:pPr>
                <w:r>
                  <w:rPr/>
                  <w:fldChar w:fldCharType="begin"/>
                </w:r>
                <w:r>
                  <w:instrText> PAGE </w:instrText>
                </w:r>
                <w:r>
                  <w:fldChar w:fldCharType="separate"/>
                </w:r>
                <w:r>
                  <w:t>6</w:t>
                </w:r>
                <w:r>
                  <w:fldChar w:fldCharType="end"/>
                </w:r>
              </w:p>
            </w:txbxContent>
          </v:textbox>
        </v:rect>
      </w:pict>
    </w:r>
    <w:r>
      <w:pict>
        <v:rect fillcolor="#FFFFFF" strokecolor="#000000" strokeweight="0pt" style="position:absolute;width:151.8pt;height:23pt;mso-wrap-distance-left:9pt;mso-wrap-distance-right:9pt;mso-wrap-distance-top:0pt;mso-wrap-distance-bottom:0pt;margin-top:25.55pt;margin-left:296.4pt">
          <v:textbox>
            <w:txbxContent>
              <w:p>
                <w:pPr>
                  <w:pStyle w:val="Contenutocornice"/>
                  <w:spacing w:before="0" w:after="160"/>
                  <w:rPr>
                    <w:rFonts w:cs="Arial" w:ascii="Arial" w:hAnsi="Arial"/>
                    <w:b/>
                    <w:bCs/>
                    <w:sz w:val="24"/>
                    <w:szCs w:val="24"/>
                  </w:rPr>
                </w:pPr>
                <w:r>
                  <w:rPr/>
                  <w:t>Data</w:t>
                </w:r>
                <w:r>
                  <w:rPr>
                    <w:rFonts w:cs="Arial" w:ascii="Arial" w:hAnsi="Arial"/>
                    <w:sz w:val="24"/>
                    <w:szCs w:val="24"/>
                  </w:rPr>
                  <w:t xml:space="preserve">  </w:t>
                </w:r>
                <w:r>
                  <w:rPr>
                    <w:rFonts w:cs="Arial" w:ascii="Arial" w:hAnsi="Arial"/>
                    <w:b/>
                    <w:bCs/>
                    <w:sz w:val="24"/>
                    <w:szCs w:val="24"/>
                  </w:rPr>
                  <w:t xml:space="preserve">    </w:t>
                </w:r>
              </w:p>
            </w:txbxContent>
          </v:textbox>
        </v:rect>
      </w:pict>
    </w:r>
    <w:r>
      <w:pict>
        <v:rect fillcolor="#FFFFFF" strokecolor="#000000" strokeweight="0pt" style="position:absolute;width:151.8pt;height:23.75pt;mso-wrap-distance-left:9pt;mso-wrap-distance-right:9pt;mso-wrap-distance-top:0pt;mso-wrap-distance-bottom:0pt;margin-top:0.2pt;margin-left:296.4pt">
          <v:textbox>
            <w:txbxContent>
              <w:p>
                <w:pPr>
                  <w:pStyle w:val="Contenutocornice"/>
                  <w:spacing w:before="0" w:after="160"/>
                  <w:rPr>
                    <w:rFonts w:cs="Arial" w:ascii="Arial" w:hAnsi="Arial"/>
                    <w:b/>
                    <w:bCs/>
                  </w:rPr>
                </w:pPr>
                <w:r>
                  <w:rPr/>
                  <w:t xml:space="preserve">Numero        </w:t>
                </w:r>
                <w:r>
                  <w:rPr>
                    <w:rFonts w:cs="Arial" w:ascii="Arial" w:hAnsi="Arial"/>
                    <w:b/>
                    <w:bCs/>
                  </w:rPr>
                  <w:t xml:space="preserve"> </w:t>
                </w:r>
              </w:p>
            </w:txbxContent>
          </v:textbox>
        </v:rect>
      </w:pict>
    </w:r>
  </w:p>
  <w:p>
    <w:pPr>
      <w:pStyle w:val="Normal"/>
      <w:rPr>
        <w:rFonts w:cs="Arial" w:ascii="Arial" w:hAnsi="Arial"/>
        <w:sz w:val="18"/>
        <w:szCs w:val="18"/>
      </w:rPr>
    </w:pPr>
    <w:r>
      <w:rPr>
        <w:rFonts w:cs="Arial" w:ascii="Arial" w:hAnsi="Arial"/>
      </w:rPr>
      <w:tab/>
    </w:r>
    <w:r>
      <w:rPr>
        <w:rFonts w:cs="Arial" w:ascii="Arial" w:hAnsi="Arial"/>
        <w:sz w:val="18"/>
        <w:szCs w:val="18"/>
      </w:rPr>
      <w:t xml:space="preserve">       GIUNTA REGIONALE</w:t>
    </w:r>
  </w:p>
  <w:p>
    <w:pPr>
      <w:pStyle w:val="Intestazione"/>
      <w:rPr>
        <w:b/>
        <w:bCs/>
        <w:sz w:val="18"/>
        <w:szCs w:val="18"/>
      </w:rPr>
    </w:pPr>
    <w:r>
      <w:rPr>
        <w:b/>
        <w:bCs/>
        <w:sz w:val="18"/>
        <w:szCs w:val="18"/>
      </w:rPr>
      <w:t xml:space="preserve">              </w:t>
    </w:r>
    <w:r>
      <w:rPr>
        <w:b/>
        <w:bCs/>
        <w:sz w:val="18"/>
        <w:szCs w:val="18"/>
      </w:rPr>
      <w:tab/>
      <w:tab/>
      <w:t xml:space="preserve">     </w:t>
    </w:r>
    <w:r>
      <w:pict>
        <v:rect fillcolor="#FFFFFF" strokecolor="#000000" strokeweight="0pt" style="position:absolute;width:96pt;height:48.75pt;mso-wrap-distance-left:9pt;mso-wrap-distance-right:9pt;mso-wrap-distance-top:0pt;mso-wrap-distance-bottom:0pt;margin-top:-24.85pt;margin-left:197.4pt">
          <v:textbox>
            <w:txbxContent>
              <w:p>
                <w:pPr>
                  <w:pStyle w:val="Contenutocornice"/>
                  <w:rPr/>
                </w:pPr>
                <w:r>
                  <w:rPr/>
                  <w:pict>
                    <v:rect id="shape_0" stroked="f" style="position:absolute;margin-left:0pt;margin-top:0pt;width:80.95pt;height:26.95pt">
                      <v:imagedata r:id="rId2" detectmouseclick="t"/>
                      <v:wrap v:type="none"/>
                      <v:stroke color="#3465a4" joinstyle="round" endcap="flat"/>
                    </v:rect>
                  </w:pict>
                </w:r>
              </w:p>
              <w:p>
                <w:pPr>
                  <w:pStyle w:val="Contenutocornice"/>
                  <w:rPr>
                    <w:sz w:val="18"/>
                    <w:szCs w:val="18"/>
                  </w:rPr>
                </w:pPr>
                <w:r>
                  <w:rPr>
                    <w:sz w:val="18"/>
                    <w:szCs w:val="18"/>
                  </w:rPr>
                </w:r>
              </w:p>
              <w:p>
                <w:pPr>
                  <w:pStyle w:val="Contenutocornice"/>
                  <w:rPr>
                    <w:sz w:val="18"/>
                    <w:szCs w:val="18"/>
                  </w:rPr>
                </w:pPr>
                <w:r>
                  <w:rPr>
                    <w:sz w:val="18"/>
                    <w:szCs w:val="18"/>
                  </w:rPr>
                </w:r>
              </w:p>
              <w:p>
                <w:pPr>
                  <w:pStyle w:val="Contenutocornice"/>
                  <w:spacing w:before="0" w:after="160"/>
                  <w:rPr>
                    <w:sz w:val="18"/>
                    <w:szCs w:val="18"/>
                  </w:rPr>
                </w:pPr>
                <w:r>
                  <w:rPr>
                    <w:sz w:val="18"/>
                    <w:szCs w:val="18"/>
                  </w:rPr>
                  <w:t>Ancona</w:t>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lvl w:ilvl="0">
      <w:start w:val="2"/>
      <w:numFmt w:val="bullet"/>
      <w:lvlText w:val="-"/>
      <w:lvlJc w:val="left"/>
      <w:pPr>
        <w:ind w:left="720" w:hanging="360"/>
      </w:pPr>
      <w:rPr>
        <w:rFonts w:ascii="DecimaWE Rg" w:hAnsi="DecimaWE Rg" w:cs="DecimaWE Rg"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lvl w:ilvl="0">
      <w:start w:val="1"/>
      <w:numFmt w:val="lowerLetter"/>
      <w:lvlText w:val="%1)"/>
      <w:lvlJc w:val="left"/>
      <w:pPr>
        <w:tabs>
          <w:tab w:val="num" w:pos="1443"/>
        </w:tabs>
        <w:ind w:left="1443" w:hanging="360"/>
      </w:pPr>
      <w:rPr/>
    </w:lvl>
    <w:lvl w:ilvl="1">
      <w:start w:val="1"/>
      <w:numFmt w:val="lowerLetter"/>
      <w:lvlText w:val="%2."/>
      <w:lvlJc w:val="left"/>
      <w:pPr>
        <w:tabs>
          <w:tab w:val="num" w:pos="2163"/>
        </w:tabs>
        <w:ind w:left="2163" w:hanging="360"/>
      </w:pPr>
      <w:rPr/>
    </w:lvl>
    <w:lvl w:ilvl="2">
      <w:start w:val="1"/>
      <w:numFmt w:val="lowerRoman"/>
      <w:lvlText w:val="%3."/>
      <w:lvlJc w:val="right"/>
      <w:pPr>
        <w:tabs>
          <w:tab w:val="num" w:pos="2883"/>
        </w:tabs>
        <w:ind w:left="2883" w:hanging="180"/>
      </w:pPr>
      <w:rPr/>
    </w:lvl>
    <w:lvl w:ilvl="3">
      <w:start w:val="1"/>
      <w:numFmt w:val="decimal"/>
      <w:lvlText w:val="%4."/>
      <w:lvlJc w:val="left"/>
      <w:pPr>
        <w:tabs>
          <w:tab w:val="num" w:pos="3603"/>
        </w:tabs>
        <w:ind w:left="3603" w:hanging="360"/>
      </w:pPr>
      <w:rPr/>
    </w:lvl>
    <w:lvl w:ilvl="4">
      <w:start w:val="1"/>
      <w:numFmt w:val="lowerLetter"/>
      <w:lvlText w:val="%5."/>
      <w:lvlJc w:val="left"/>
      <w:pPr>
        <w:tabs>
          <w:tab w:val="num" w:pos="4323"/>
        </w:tabs>
        <w:ind w:left="4323" w:hanging="360"/>
      </w:pPr>
      <w:rPr/>
    </w:lvl>
    <w:lvl w:ilvl="5">
      <w:start w:val="1"/>
      <w:numFmt w:val="lowerRoman"/>
      <w:lvlText w:val="%6."/>
      <w:lvlJc w:val="right"/>
      <w:pPr>
        <w:tabs>
          <w:tab w:val="num" w:pos="5043"/>
        </w:tabs>
        <w:ind w:left="5043" w:hanging="180"/>
      </w:pPr>
      <w:rPr/>
    </w:lvl>
    <w:lvl w:ilvl="6">
      <w:start w:val="1"/>
      <w:numFmt w:val="decimal"/>
      <w:lvlText w:val="%7."/>
      <w:lvlJc w:val="left"/>
      <w:pPr>
        <w:tabs>
          <w:tab w:val="num" w:pos="5763"/>
        </w:tabs>
        <w:ind w:left="5763" w:hanging="360"/>
      </w:pPr>
      <w:rPr/>
    </w:lvl>
    <w:lvl w:ilvl="7">
      <w:start w:val="1"/>
      <w:numFmt w:val="lowerLetter"/>
      <w:lvlText w:val="%8."/>
      <w:lvlJc w:val="left"/>
      <w:pPr>
        <w:tabs>
          <w:tab w:val="num" w:pos="6483"/>
        </w:tabs>
        <w:ind w:left="6483" w:hanging="360"/>
      </w:pPr>
      <w:rPr/>
    </w:lvl>
    <w:lvl w:ilvl="8">
      <w:start w:val="1"/>
      <w:numFmt w:val="lowerRoman"/>
      <w:lvlText w:val="%9."/>
      <w:lvlJc w:val="right"/>
      <w:pPr>
        <w:tabs>
          <w:tab w:val="num" w:pos="7203"/>
        </w:tabs>
        <w:ind w:left="7203" w:hanging="180"/>
      </w:pPr>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it-IT" w:eastAsia="it-IT"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nhideWhenUsed="0" w:semiHidden="0"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92120"/>
    <w:pPr>
      <w:widowControl/>
      <w:suppressAutoHyphens w:val="true"/>
      <w:bidi w:val="0"/>
      <w:spacing w:lineRule="auto" w:line="259" w:before="0" w:after="160"/>
      <w:jc w:val="left"/>
    </w:pPr>
    <w:rPr>
      <w:rFonts w:ascii="Calibri" w:hAnsi="Calibri" w:eastAsia="Arial Unicode MS" w:cs="Calibri"/>
      <w:color w:val="auto"/>
      <w:sz w:val="22"/>
      <w:szCs w:val="22"/>
      <w:lang w:eastAsia="en-US" w:val="it-IT" w:bidi="ar-SA"/>
    </w:rPr>
  </w:style>
  <w:style w:type="character" w:styleId="DefaultParagraphFont" w:default="1">
    <w:name w:val="Default Paragraph Font"/>
    <w:uiPriority w:val="99"/>
    <w:semiHidden/>
    <w:rPr/>
  </w:style>
  <w:style w:type="character" w:styleId="HeaderChar" w:customStyle="1">
    <w:name w:val="Header Char"/>
    <w:uiPriority w:val="99"/>
    <w:link w:val="Header"/>
    <w:locked/>
    <w:basedOn w:val="DefaultParagraphFont"/>
    <w:rPr>
      <w:rFonts w:ascii="Times New Roman" w:hAnsi="Times New Roman" w:cs="Times New Roman"/>
      <w:sz w:val="20"/>
      <w:szCs w:val="20"/>
      <w:lang w:eastAsia="it-IT"/>
    </w:rPr>
  </w:style>
  <w:style w:type="character" w:styleId="Pagenumber">
    <w:name w:val="page number"/>
    <w:uiPriority w:val="99"/>
    <w:basedOn w:val="DefaultParagraphFont"/>
    <w:rPr>
      <w:rFonts w:cs="Times New Roman"/>
    </w:rPr>
  </w:style>
  <w:style w:type="character" w:styleId="ListLabel1" w:customStyle="1">
    <w:name w:val="ListLabel 1"/>
    <w:uiPriority w:val="99"/>
    <w:rsid w:val="00c92120"/>
    <w:rPr/>
  </w:style>
  <w:style w:type="character" w:styleId="ListLabel2" w:customStyle="1">
    <w:name w:val="ListLabel 2"/>
    <w:uiPriority w:val="99"/>
    <w:rsid w:val="00c92120"/>
    <w:rPr>
      <w:rFonts w:eastAsia="Times New Roman"/>
    </w:rPr>
  </w:style>
  <w:style w:type="character" w:styleId="ListLabel3" w:customStyle="1">
    <w:name w:val="ListLabel 3"/>
    <w:uiPriority w:val="99"/>
    <w:rsid w:val="00c92120"/>
    <w:rPr/>
  </w:style>
  <w:style w:type="character" w:styleId="ListLabel4" w:customStyle="1">
    <w:name w:val="ListLabel 4"/>
    <w:uiPriority w:val="99"/>
    <w:rsid w:val="00c92120"/>
    <w:rPr>
      <w:rFonts w:eastAsia="Times New Roman"/>
    </w:rPr>
  </w:style>
  <w:style w:type="character" w:styleId="CollegamentoInternet">
    <w:name w:val="Collegamento Internet"/>
    <w:uiPriority w:val="99"/>
    <w:rsid w:val="000c4959"/>
    <w:basedOn w:val="DefaultParagraphFont"/>
    <w:rPr>
      <w:rFonts w:cs="Times New Roman"/>
      <w:color w:val="0563C1"/>
      <w:u w:val="single"/>
      <w:lang w:val="zxx" w:eastAsia="zxx" w:bidi="zxx"/>
    </w:rPr>
  </w:style>
  <w:style w:type="character" w:styleId="BalloonTextChar" w:customStyle="1">
    <w:name w:val="Balloon Text Char"/>
    <w:uiPriority w:val="99"/>
    <w:semiHidden/>
    <w:link w:val="BalloonText"/>
    <w:locked/>
    <w:basedOn w:val="DefaultParagraphFont"/>
    <w:rPr>
      <w:rFonts w:ascii="Segoe UI" w:hAnsi="Segoe UI" w:cs="Segoe UI"/>
      <w:sz w:val="18"/>
      <w:szCs w:val="18"/>
    </w:rPr>
  </w:style>
  <w:style w:type="character" w:styleId="FooterChar" w:customStyle="1">
    <w:name w:val="Footer Char"/>
    <w:uiPriority w:val="99"/>
    <w:link w:val="Footer"/>
    <w:locked/>
    <w:basedOn w:val="DefaultParagraphFont"/>
    <w:rPr>
      <w:rFonts w:cs="Times New Roman"/>
    </w:rPr>
  </w:style>
  <w:style w:type="character" w:styleId="ListLabel5" w:customStyle="1">
    <w:name w:val="ListLabel 5"/>
    <w:uiPriority w:val="99"/>
    <w:rsid w:val="00c92120"/>
    <w:rPr/>
  </w:style>
  <w:style w:type="character" w:styleId="ListLabel6" w:customStyle="1">
    <w:name w:val="ListLabel 6"/>
    <w:uiPriority w:val="99"/>
    <w:rsid w:val="00c92120"/>
    <w:rPr/>
  </w:style>
  <w:style w:type="character" w:styleId="ListLabel7" w:customStyle="1">
    <w:name w:val="ListLabel 7"/>
    <w:uiPriority w:val="99"/>
    <w:rsid w:val="00c92120"/>
    <w:rPr/>
  </w:style>
  <w:style w:type="character" w:styleId="ListLabel8" w:customStyle="1">
    <w:name w:val="ListLabel 8"/>
    <w:uiPriority w:val="99"/>
    <w:rsid w:val="00c92120"/>
    <w:rPr/>
  </w:style>
  <w:style w:type="character" w:styleId="ListLabel9" w:customStyle="1">
    <w:name w:val="ListLabel 9"/>
    <w:uiPriority w:val="99"/>
    <w:rsid w:val="00c92120"/>
    <w:rPr/>
  </w:style>
  <w:style w:type="character" w:styleId="ListLabel10" w:customStyle="1">
    <w:name w:val="ListLabel 10"/>
    <w:uiPriority w:val="99"/>
    <w:rsid w:val="00c92120"/>
    <w:rPr/>
  </w:style>
  <w:style w:type="character" w:styleId="ListLabel11" w:customStyle="1">
    <w:name w:val="ListLabel 11"/>
    <w:uiPriority w:val="99"/>
    <w:rsid w:val="00c92120"/>
    <w:rPr/>
  </w:style>
  <w:style w:type="character" w:styleId="ListLabel12" w:customStyle="1">
    <w:name w:val="ListLabel 12"/>
    <w:uiPriority w:val="99"/>
    <w:rsid w:val="00c92120"/>
    <w:rPr/>
  </w:style>
  <w:style w:type="character" w:styleId="ListLabel13" w:customStyle="1">
    <w:name w:val="ListLabel 13"/>
    <w:uiPriority w:val="99"/>
    <w:rsid w:val="00c92120"/>
    <w:rPr/>
  </w:style>
  <w:style w:type="character" w:styleId="ListLabel14" w:customStyle="1">
    <w:name w:val="ListLabel 14"/>
    <w:uiPriority w:val="99"/>
    <w:rsid w:val="00c92120"/>
    <w:rPr/>
  </w:style>
  <w:style w:type="character" w:styleId="ListLabel15" w:customStyle="1">
    <w:name w:val="ListLabel 15"/>
    <w:uiPriority w:val="99"/>
    <w:rsid w:val="00c92120"/>
    <w:rPr/>
  </w:style>
  <w:style w:type="character" w:styleId="ListLabel16" w:customStyle="1">
    <w:name w:val="ListLabel 16"/>
    <w:uiPriority w:val="99"/>
    <w:rsid w:val="00c92120"/>
    <w:rPr/>
  </w:style>
  <w:style w:type="character" w:styleId="Caratteredinumerazione" w:customStyle="1">
    <w:name w:val="Carattere di numerazione"/>
    <w:uiPriority w:val="99"/>
    <w:rsid w:val="00c92120"/>
    <w:rPr/>
  </w:style>
  <w:style w:type="character" w:styleId="TitleChar" w:customStyle="1">
    <w:name w:val="Title Char"/>
    <w:uiPriority w:val="10"/>
    <w:link w:val="Title"/>
    <w:rsid w:val="00a921b1"/>
    <w:basedOn w:val="DefaultParagraphFont"/>
    <w:rPr>
      <w:rFonts w:ascii="Cambria" w:hAnsi="Cambria" w:cs=""/>
      <w:b/>
      <w:bCs/>
      <w:sz w:val="32"/>
      <w:szCs w:val="32"/>
      <w:lang w:eastAsia="en-US"/>
    </w:rPr>
  </w:style>
  <w:style w:type="character" w:styleId="BodyTextChar" w:customStyle="1">
    <w:name w:val="Body Text Char"/>
    <w:uiPriority w:val="99"/>
    <w:semiHidden/>
    <w:link w:val="BodyText"/>
    <w:rsid w:val="00a921b1"/>
    <w:basedOn w:val="DefaultParagraphFont"/>
    <w:rPr>
      <w:lang w:eastAsia="en-US"/>
    </w:rPr>
  </w:style>
  <w:style w:type="character" w:styleId="HeaderChar1" w:customStyle="1">
    <w:name w:val="Header Char1"/>
    <w:uiPriority w:val="99"/>
    <w:semiHidden/>
    <w:link w:val="Header"/>
    <w:rsid w:val="00a921b1"/>
    <w:basedOn w:val="DefaultParagraphFont"/>
    <w:rPr>
      <w:lang w:eastAsia="en-US"/>
    </w:rPr>
  </w:style>
  <w:style w:type="character" w:styleId="BalloonTextChar1" w:customStyle="1">
    <w:name w:val="Balloon Text Char1"/>
    <w:uiPriority w:val="99"/>
    <w:semiHidden/>
    <w:link w:val="BalloonText"/>
    <w:rsid w:val="00a921b1"/>
    <w:basedOn w:val="DefaultParagraphFont"/>
    <w:rPr>
      <w:rFonts w:ascii="Times New Roman" w:hAnsi="Times New Roman"/>
      <w:sz w:val="0"/>
      <w:szCs w:val="0"/>
      <w:lang w:eastAsia="en-US"/>
    </w:rPr>
  </w:style>
  <w:style w:type="character" w:styleId="FooterChar1" w:customStyle="1">
    <w:name w:val="Footer Char1"/>
    <w:uiPriority w:val="99"/>
    <w:semiHidden/>
    <w:link w:val="Footer"/>
    <w:rsid w:val="00a921b1"/>
    <w:basedOn w:val="DefaultParagraphFont"/>
    <w:rPr>
      <w:lang w:eastAsia="en-US"/>
    </w:rPr>
  </w:style>
  <w:style w:type="character" w:styleId="ListLabel17">
    <w:name w:val="ListLabel 17"/>
    <w:rPr>
      <w:rFonts w:cs="Times New Roman"/>
    </w:rPr>
  </w:style>
  <w:style w:type="character" w:styleId="ListLabel18">
    <w:name w:val="ListLabel 18"/>
    <w:rPr>
      <w:rFonts w:cs="Times New Roman"/>
      <w:b/>
    </w:rPr>
  </w:style>
  <w:style w:type="paragraph" w:styleId="Titolo">
    <w:name w:val="Titolo"/>
    <w:basedOn w:val="Normal"/>
    <w:next w:val="Corpodeltesto"/>
    <w:pPr>
      <w:keepNext/>
      <w:spacing w:before="240" w:after="120"/>
    </w:pPr>
    <w:rPr>
      <w:rFonts w:ascii="Liberation Sans" w:hAnsi="Liberation Sans" w:eastAsia="Arial Unicode MS" w:cs="Mangal"/>
      <w:sz w:val="28"/>
      <w:szCs w:val="28"/>
    </w:rPr>
  </w:style>
  <w:style w:type="paragraph" w:styleId="Corpodeltesto">
    <w:name w:val="Corpo del testo"/>
    <w:uiPriority w:val="99"/>
    <w:link w:val="BodyTextChar"/>
    <w:rsid w:val="00c92120"/>
    <w:basedOn w:val="Normal"/>
    <w:pPr>
      <w:spacing w:lineRule="auto" w:line="288" w:before="0" w:after="140"/>
    </w:pPr>
    <w:rPr/>
  </w:style>
  <w:style w:type="paragraph" w:styleId="Elenco">
    <w:name w:val="Elenco"/>
    <w:uiPriority w:val="99"/>
    <w:rsid w:val="00c92120"/>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uiPriority w:val="99"/>
    <w:rsid w:val="00c92120"/>
    <w:basedOn w:val="Normal"/>
    <w:pPr>
      <w:suppressLineNumbers/>
    </w:pPr>
    <w:rPr>
      <w:rFonts w:cs="Mangal"/>
    </w:rPr>
  </w:style>
  <w:style w:type="paragraph" w:styleId="Titoloprincipale" w:customStyle="1">
    <w:name w:val="Titolo principale"/>
    <w:uiPriority w:val="99"/>
    <w:rsid w:val="00c92120"/>
    <w:basedOn w:val="Normal"/>
    <w:next w:val="Corpodeltesto"/>
    <w:pPr>
      <w:keepNext/>
      <w:spacing w:before="240" w:after="120"/>
      <w:jc w:val="left"/>
    </w:pPr>
    <w:rPr>
      <w:rFonts w:ascii="Liberation Sans" w:hAnsi="Liberation Sans" w:cs="Mangal"/>
      <w:sz w:val="28"/>
      <w:szCs w:val="28"/>
    </w:rPr>
  </w:style>
  <w:style w:type="paragraph" w:styleId="Caption">
    <w:name w:val="caption"/>
    <w:uiPriority w:val="99"/>
    <w:qFormat/>
    <w:rsid w:val="00c92120"/>
    <w:basedOn w:val="Normal"/>
    <w:pPr>
      <w:suppressLineNumbers/>
      <w:spacing w:before="120" w:after="120"/>
    </w:pPr>
    <w:rPr>
      <w:rFonts w:cs="Mangal"/>
      <w:i/>
      <w:iCs/>
      <w:sz w:val="24"/>
      <w:szCs w:val="24"/>
    </w:rPr>
  </w:style>
  <w:style w:type="paragraph" w:styleId="Intestazione">
    <w:name w:val="Intestazione"/>
    <w:uiPriority w:val="99"/>
    <w:link w:val="HeaderChar"/>
    <w:basedOn w:val="Normal"/>
    <w:pPr>
      <w:tabs>
        <w:tab w:val="center" w:pos="4819" w:leader="none"/>
        <w:tab w:val="right" w:pos="9638" w:leader="none"/>
      </w:tabs>
      <w:spacing w:lineRule="auto" w:line="240" w:before="0" w:after="0"/>
    </w:pPr>
    <w:rPr>
      <w:rFonts w:ascii="Times New Roman" w:hAnsi="Times New Roman" w:cs="Times New Roman"/>
      <w:sz w:val="20"/>
      <w:szCs w:val="20"/>
      <w:lang w:eastAsia="it-IT"/>
    </w:rPr>
  </w:style>
  <w:style w:type="paragraph" w:styleId="ListParagraph">
    <w:name w:val="List Paragraph"/>
    <w:uiPriority w:val="99"/>
    <w:qFormat/>
    <w:basedOn w:val="Normal"/>
    <w:pPr>
      <w:spacing w:before="0" w:after="160"/>
      <w:ind w:left="720" w:right="0" w:hanging="0"/>
      <w:contextualSpacing/>
    </w:pPr>
    <w:rPr/>
  </w:style>
  <w:style w:type="paragraph" w:styleId="Contenutocornice" w:customStyle="1">
    <w:name w:val="Contenuto cornice"/>
    <w:uiPriority w:val="99"/>
    <w:rsid w:val="00c92120"/>
    <w:basedOn w:val="Normal"/>
    <w:pPr/>
    <w:rPr/>
  </w:style>
  <w:style w:type="paragraph" w:styleId="BalloonText">
    <w:name w:val="Balloon Text"/>
    <w:uiPriority w:val="99"/>
    <w:semiHidden/>
    <w:link w:val="BalloonTextChar"/>
    <w:basedOn w:val="Normal"/>
    <w:pPr>
      <w:spacing w:lineRule="auto" w:line="240" w:before="0" w:after="0"/>
    </w:pPr>
    <w:rPr>
      <w:rFonts w:ascii="Segoe UI" w:hAnsi="Segoe UI" w:cs="Segoe UI"/>
      <w:sz w:val="18"/>
      <w:szCs w:val="18"/>
    </w:rPr>
  </w:style>
  <w:style w:type="paragraph" w:styleId="Pidipagina">
    <w:name w:val="Piè di pagina"/>
    <w:uiPriority w:val="99"/>
    <w:link w:val="FooterChar"/>
    <w:basedOn w:val="Normal"/>
    <w:pPr>
      <w:tabs>
        <w:tab w:val="center" w:pos="4819" w:leader="none"/>
        <w:tab w:val="right" w:pos="9638"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f_istruzione@emarch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Relationship Id="rId2"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2018-04-20T12:36:00Z</dcterms:created>
  <dc:creator>Arianna Gabbianelli</dc:creator>
  <dc:language>it-IT</dc:language>
  <cp:lastModifiedBy>piergiorgia.falcioni</cp:lastModifiedBy>
  <cp:lastPrinted>2018-04-10T16:07:00Z</cp:lastPrinted>
  <dcterms:modified xsi:type="dcterms:W3CDTF">2018-04-20T12:36:00Z</dcterms:modified>
  <cp:revision>2</cp:revision>
  <dc:title>Allegato “A” </dc:title>
</cp:coreProperties>
</file>